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9" w:rsidRDefault="00E87AF9" w:rsidP="00E87AF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Статьи научные</w:t>
      </w:r>
    </w:p>
    <w:p w:rsidR="00E87AF9" w:rsidRPr="0053302D" w:rsidRDefault="00E87AF9" w:rsidP="00E87AF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02D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Поклонова, Е.В. Динамика международной торговли услугами Красноярского края. Материалы III межд. науч.-практ. конф., 26 февраля 2013г./ Под общ. ред. С.С. Чернова. - Новосибирск: ООО агентство «СИБПРИНТ», 2013. – С.154-163;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Шовхалов, Ш. А., Бабанова, Ю. А. Этика в коммерческой деятельности. Материалы II межрегион. науч.-практ. конф. 10 апреля 2013 г. / Редкол. Петрова А.Т. и др. Красноярск: Сиб. федер. ун-т, 2013. – С. 57-60;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Шовхалов, Ш.А., Пустовая, Е. А..  Понятие эффективности деятельности коммерческой организации. Материалы II межрегион. науч.-практ. конф. 10 апреля 2013 г. / Редкол. Петрова А.Т. и др. Красноярск: Сиб. федер. ун-т, 2013. – С. 97-101;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Шовхалов, Ш.А., Стародуб, В. А., Хохлова, А. В. Влияние производства и потребления алкогольной продукции на социальное развитие страны. Материалы II межрегион. науч.-практ. конф. 10 апреля 2013 г. / Редкол. Петрова А.Т. и др. Красноярск: Сиб. федер. ун-т, 2013. – С. 107-112;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Поклонова Е.В. Платные услуги населению Красноярского края: анализ структурных сдвигов. Материалы межд. заоч. науч.-практ. конф., 27-28 февраля 2013г., г. Санкт-Петербург.- СПб.:Изд-во «КультИнформПресс», 2013. – С. 237-241;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Поклонова, Е.В. Иностранные инвестиции: оценка динамики развития и структурных сдвигов. Материалы ХХХ межд. науч.-практ. конф.,19 марта 2013г./ Под общ. ред. С.С. Чернова. - Новосибирск: ООО агентство «СИБПРИНТ», 2013. – С. 131-137;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Поклонова, Е.В., Задорожная, В.А.  Статистический анализ оборота оптовой торговли. Материалы ХХХ межд. науч.-практ. конф., 19 марта 2013г. / Под общ. ред. С.С. Чернова. - Новосибирск: ООО агентство «СИБПРИНТ», 2013. – С.125-131;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Поклонова, Е.В., Задорожная, В.А.  Торговля Красноярского края: занятость и использование кадрового потенциала. Материалы IY межд. науч.-практ. конф.: в 2-х частях. Часть 1, 22 марта 2013г./ Под общ. ред. С.С. Чернова. – Екатеринбург: Изд-во Уральского института фондового рынка, 2013. – С.161-166;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Поклонова, Е.В., Элизбарян, А.А. Инвестиции в основной капитал РФ: статистический анализ формирования и направления использования. Материалы ХIХ межд. науч.-практ. конф., 19 апреля 2013г. / Под общ. ред. С.С. Чернова. - Новосибирск: ООО агентство «СИБПРИНТ», 2013. – С.7-14;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Сацук Т.П., Малачева Е.В. Некоторые аспекты формирования учетной политики в соответствии с российскими и международными стандартами. Материалы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межрег. науч.–практ. конференции, 2013 г., С. 43-45;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Поклонова Е.В., Задорожная,  В.А. Оборот товаров Красноярского края: динамика видов и вектор развития. Материалы II межрег. науч.-практ. конф., 10 апреля 2013г./ [Электронный ресурс] / сост. А.Т. Петрова, Ш.А. Шовхалов, Т.В. Живаева, О.А. Журавлева. – Красноярск: Сиб. федер. ун-т, 2013. – Загл. с экрана, С.64-71;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Поклонова Е.В., Элизбарян, А.А. Иностранные инвестиции в Красноярском крае: статистическая оценка динамики развития и структурных изменений. Материалы II межрег. науч.-практ. конф., 10 апреля 2013г./ [Электронный ресурс] / сост. А.Т. Петрова, Ш.А. Шовхалов, Т.В. Живаева, О.А. Журавлева. – Красноярск: Сиб. федер. ун-т, 2013. – Загл. с экрана., С.113-118;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Донченко Н.А. Дидактические эвристики как интеллектуальные инструменты преподавателя бухгалтерского учёта. Материали за IX международна научна практична конференция «БЪДЕЩИТЕ ИЗСЛЕДВАНИЯ – 2013» 17-25 февруари  2013. Том 15 Педагогически науки. София «Бял ГРАД-БГ» ООД  2013. ISBN 978-966-8736-05-6, – С. 58-70;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Донченко Н.А. Использование методов дидактического ускорения и концентрированного обучения в методике преподавания бухгалтерского учёта. Материали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IX международна научна практична конференция «БЪДЕЩИТЕ ИЗСЛЕДВАНИЯ – 2013» 17-25 февруари  2013. Том 15 Педагогически науки. София «Бял ГРАД-БГ» ООД  2013, – С. 71-77;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Донченко Н.А. Творчество как два варианта реализации мегаэвристик. Материали за IX международна научна практична конференция «БЪДЕЩИТЕ ИЗСЛЕДВАНИЯ – 2013» 17-25 февруари  2013. Том 20 Психология и социология. София «Бял ГРАД-БГ» ООД  2013, – С. 27-35;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Пакшина, Т.П., Бондаревич, А.В.  Проблемы учета товарных потерь. Материалы межрег. науч.-практ. конф., 10 апреля 2013г./ [Электронный ресурс] / сост. А.Т. Петрова, Ш.А. Шовхалов, Т.В. Живаева, О.А. Журавлева. Красноярск: Сиб. федер. ун-т, 2013. – Загл. с экрана., С.32-37;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Дягель О.Ю. Концепция магистерской программы «Бизнес-аналитик / О.Ю.Дягель, Н.А.Соловьева // Современное состояние и перспективы развития бухгалтерского учета, экономического анализа и аудита: материалы Международной научно-практической конференции, 18 - 19 апреля 2013 г. – Иркутск, 2013 – С.340-344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Шовхалов, Ш.А. Экономико-шариатский взгляд на алкогольный бизнес. Исламские финансы в российских реалиях / Ш.А Шовхалов // Материалы I Всероссийской научно-практической конференции – Махачкала: Дагестанский государственный университет, 2013. – С. 5-105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Килин, А.З., Павлова, С.А., Полякова И.А., Горбач, Н.А. Оценка потерь общества от наркобизнеса / Килин, А.З., Павлова, С.А., Полякова И.А., Горбач, Н.А. // Национальные интересы: приоритеты и безопасность. -2013. - № 23- С. 52-54.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Сацук Т. П. Организация управленческого учета в системе контроллинга // Современная наука: актуальные проблемы теории и практики № 7-8 , 2013 – С 54-57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Dyagel O.Y. The main trend of innovative activity of subjects small business: a regional perspective /O.N.Vladimirova, O.Y. Dyagel Education and science without borders: European scientific and industrial consortium «ESIC», 17-20 November 2013, Germany, Myunhhen // International journal of applied and fundamental research.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Dyagel O.Y. Main tendencies of innovative development in the economy of the Krasnoyarsk territory/ O.N. Vladimirova, O.Y. Dyagel//Economics, organization and management of enterprises, industries and complexes in market conditions: methods, mechanisms, tools and technologies: proceedings of the annual international conference, 18-20 February 2013, Czech Republic, Prague. Ed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Boyarintsev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Kirov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MTSNIP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323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273-280.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Пакшина Т.П., Панасюгина Л.Ф. Роль маркетинговой политики в учете торговых скидок. // Актуальные проблемы бухгалтерского учета, экономического анализа и финансов / Материалы II межрегиональной научно-практической конференции – Красноярск: Сиб. федер. ун-т, 2013. – С. 38-41</w:t>
      </w:r>
    </w:p>
    <w:p w:rsidR="00E87AF9" w:rsidRPr="008D4E6A" w:rsidRDefault="00E87AF9" w:rsidP="00E87AF9">
      <w:pPr>
        <w:widowControl w:val="0"/>
        <w:tabs>
          <w:tab w:val="left" w:pos="8789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Полякова И.А., Зейналова Э.З. Вопросы исчисления ндфл  по операциям  с долей в уставном капитале / Полякова И.А., Зейналова Э.З. //Актуальные вопросы налогообложения и пути их реформирования в Российской Федерации»: сб. мат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научно-практической конференции 19 ноября 2012 года</w:t>
      </w:r>
      <w:r w:rsidRPr="008D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/ сост. О.Н. Владимирова, М.И. Мигунова, О.В. Конева. Красноярск: Сиб. федер. ун-т, 2013. – Загл. с экрана, С.32-36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Горячева О.П., Афанасьева Е.А. </w:t>
      </w:r>
      <w:hyperlink r:id="rId5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Риск-ориентированный подход к стандартизации аналитических процедур обзорной проверки бухгалтерской отчетности предприятий массового питания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О.П. Горячева, Е.А. Афанасьева // </w:t>
      </w:r>
      <w:hyperlink r:id="rId6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Финансовая экономика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2013. </w:t>
      </w:r>
      <w:hyperlink r:id="rId7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6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 - С. 84-92.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Горячева О.П. Организация экономического контроля фискальными институтами в бюджетной сфере в 2013 году/ О.П. Горячева // Формум-Медиа, СПБ, 2013, 38 с. 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Горячева О.П., Селиванова Е., Использование доказательств при проведении обзорной проверки / О.П. Горячева, Е. Селиванова // МНПК «Проблемы», СФУ, 2013.-С.46-51.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Горячева О.П. , Смык К.С. Переход к ведению бухгалтерского учета для организаций оптовой торговли применяющих УСН / О.П. Горячева, К.С.Смык // МНПК, СФУ, 2013г. - С. 52-56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Афанасьева Е.А. Аналитические процедуры в аудите и обзорной проверке/ Молодежь и наука: сборник материалов IХ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 [Электронный ресурс] № заказа 2394/отв. ред. О.А.Краев - Красноярск : Сиб. федер. ун-т.,2013.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Соловьева Н.А., Танкова М.М. Сравнительный анализ альтернативных вариантов использования денежных средств / Соловьева Н.А., Танкова М.М. //Сборник материалов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Всероссийской  научно-технической конференции студентов, аспирантов и молодых ученых 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«Молодежь и наука»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участием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посвященная 385-летию со дня основания. Красноярска: СФУ.- 2013 г. 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Соловьева Н.А., Осипова Е.А. Прогнозирование финансовых результатов. // Актуальные проблемы бухгалтерского учета, экономического анализа и финансов / Н. А. Соловьева, Е. А. Осипова. Материалы II межрегиональной научно-практической конференции – Красноярск: Сиб. федер. ун-т, 2013. – С. 87-92</w:t>
      </w:r>
    </w:p>
    <w:p w:rsidR="00E87AF9" w:rsidRPr="008D4E6A" w:rsidRDefault="00E87AF9" w:rsidP="00E8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Pr="008D4E6A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</w:p>
    <w:p w:rsidR="00E87AF9" w:rsidRPr="008D4E6A" w:rsidRDefault="00E87AF9" w:rsidP="00E87A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О.Н., Петрова А.Т. Проблемы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регионов.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International Scientific Association Of  Economi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//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practical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congress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economists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lawyers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«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always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ahead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facing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unknown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»,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publicanion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, -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.: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geneva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(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swizerland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),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minsk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(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belarus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),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odessa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(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ukraine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),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Peterburg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(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federation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), 2014.-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.283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sts «Consilium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»,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E87AF9" w:rsidRPr="008D4E6A" w:rsidRDefault="00E87AF9" w:rsidP="00E87A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О.П. О перспективах образовательного сотрудничества в области торгово-экономических отношений (тезисы, русский, китайский языки). Сборник материалов международного форума аналитического центра китайско-российского сотрудничества 2014г.г.Харбин, КНР, 29.06.2014г., С-318-320, 0,01п.л.</w:t>
      </w:r>
    </w:p>
    <w:p w:rsidR="00E87AF9" w:rsidRPr="008D4E6A" w:rsidRDefault="00E87AF9" w:rsidP="00E87A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Technology for monitoring financial statements quality in development economics. Goryacheva O.P., Lyalyuk L.V. Yamskikh T.N.Science, Technology and Higher Education materials of international research and practice conference June 20 th , 2014 Westwood, Canada 2014, p.113-115, 0,01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87AF9" w:rsidRPr="008D4E6A" w:rsidRDefault="00E87AF9" w:rsidP="00E87A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Methodical features of quality living management. North-East Asia Academic Forum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; 2014/1(8);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 xml:space="preserve">.-164,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0,3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87AF9" w:rsidRPr="008D4E6A" w:rsidRDefault="00E87AF9" w:rsidP="00E87A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И.А. Инновационная экономика и инвестированный капитал. Финансовая аналитика, проблемы и решения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; №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19(205) – 2014 май; стр. 49-56,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0,6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2132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И.А. Методы разработки финансовой стратегии: опыт применения. Финансовая аналитика, проблемы и решения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; №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27(213) – 2014 июль; стр. 11-21, 0,75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276"/>
          <w:tab w:val="left" w:pos="4880"/>
          <w:tab w:val="left" w:pos="8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О.Н. Проблемы и перспективы инновационного развития Республики Тыва. Многонациональная Россия: история и современность: материалы межрегиональной научно-практической конференции с международным участием, посвященной 100-летию объединения Тывы с Россией и основанием г. Кызыла. 27-28 марта 2014 гола. Филиал РГСУ в г. Красноярске.- Красноярск.- 2014. -С. 124-131, 0,31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276"/>
          <w:tab w:val="left" w:pos="4880"/>
          <w:tab w:val="left" w:pos="8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Владимирова О.Н. Вопросы обеспечения экономической безопасности региона. </w:t>
      </w:r>
      <w:r w:rsidRPr="008D4E6A">
        <w:rPr>
          <w:rFonts w:ascii="Times New Roman" w:hAnsi="Times New Roman" w:cs="Times New Roman"/>
          <w:bCs/>
          <w:sz w:val="24"/>
          <w:szCs w:val="24"/>
        </w:rPr>
        <w:t>Национальная безопасность: региональные аспекты приграничья</w:t>
      </w:r>
      <w:r w:rsidRPr="008D4E6A">
        <w:rPr>
          <w:rFonts w:ascii="Times New Roman" w:hAnsi="Times New Roman" w:cs="Times New Roman"/>
          <w:sz w:val="24"/>
          <w:szCs w:val="24"/>
        </w:rPr>
        <w:t xml:space="preserve">: Международная научно-практическая конференция: сб. ст. / Забайкал. гос. ун-т; отв. ред. Н. Н. Ханчук. – Чита, 2014.- С. 41-44,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0,2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Гаврильченко Г.С. Национальная платежная система России в действии. Многонациональная Россия: история и современность: материалы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межрегиональной научно-практической конференции с международным участием, посвященной 100-летию объединения Тывы с Россией и основанием г. Кызыла. 27-28 марта 2014 гола. Филиал РГСУ в г. Красноярске.- Красноярск.- 2014. -С. 158-167, 0,6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Гаврильченко Г.С. Перспективы экономического роста Тывы – в копилку страны. Многонациональная Россия: история и современность: материалы межрегиональной научно-практической конференции с международным участием, посвященной 100-летию объединения Тывы с Россией и основанием г. Кызыла. 27-28 марта 2014 гола. Филиал РГСУ в г. Красноярске.- Красноярск.- 2014. -С. 167-173, 0,4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О.П. Учетная политика для организаций оптовой торговли применяющих УСН / Смык К.С., Горячева О.П. Молодежь и наука: сборник материалов Х Юб. Всеросю НПК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 А. Краев — Красноярск: Сиб. федер. ун-т., 2014, 0,7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Горячева О.П. Проблемы аудита товарных операций / Горячева О.П., Микульская Е.А., Игнатова Т.В. Электронный научный журнал «Мир науки». - №4 (6) 2014г.- Идентификационный номер статьи в журнале: 14EMN414: </w:t>
      </w:r>
      <w:hyperlink r:id="rId8" w:history="1">
        <w:r w:rsidRPr="0053302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http://mir-nauki.com/PDF/14EMN414.pdf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1,0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Дягель О.Ю. Теоретические основы формирования системы аналитического обеспечения управления финансовыми ресурсами коммерческой организации.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Научный Институт «Educatio».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Ежемесячный научный журнал.  № 6. 2014. </w:t>
      </w:r>
      <w:r w:rsidRPr="008D4E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ЧАСТЬ 1. С.21-23</w:t>
      </w:r>
      <w:r w:rsidRPr="008D4E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1/0,51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Дягель О.Ю.Применение теории нечетких множеств при решении задач диагностики вероятности банкротства.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края. – Красноярск: Сиб. федер. ун-т., 2014. – С.431-436,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0,52/0,26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Дягель О.Ю. Проблемы анализа финансовых результатов коммерческой организации в контексте его информационного обеспечения.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 А. Краев — Красноярск: Сиб. федер. ун-т., 2014.- Режим доступа: </w:t>
      </w:r>
      <w:hyperlink r:id="rId9" w:history="1">
        <w:r w:rsidRPr="0053302D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http://conf.sfu-kras.ru/sites/mn2014/directions.html</w:t>
        </w:r>
      </w:hyperlink>
      <w:r w:rsidRPr="008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0,5/0,25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Дягель О.Ю.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Аналитический инструментарий оценки качества прибыли коммерческих организаций.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 А. Краев — Красноярск: Сиб. федер. ун-т., 2014.- Режим доступа: </w:t>
      </w:r>
      <w:hyperlink r:id="rId10" w:history="1">
        <w:r w:rsidRPr="0053302D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http://conf.sfu-kras.ru/sites/mn2014/directions.html</w:t>
        </w:r>
      </w:hyperlink>
      <w:r w:rsidRPr="008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0,5/0,25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Дягель О.Ю. Платежеспособность и ликвидность как ключевые характеристики финансового состояния предприятия.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 А. Краев — Красноярск: Сиб. федер. ун-т., 2014.- Режим доступа: </w:t>
      </w:r>
      <w:hyperlink r:id="rId11" w:history="1">
        <w:r w:rsidRPr="0053302D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http://conf.sfu-kras.ru/sites/mn2014/directions.html</w:t>
        </w:r>
      </w:hyperlink>
      <w:r w:rsidRPr="008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0,5/0,25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Дягель О.Ю. К вопросу методического обеспечения анализа денежных потоков предприятия.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 А. Краев — Красноярск: Сиб. федер. ун-т., 2014.- Режим доступа: </w:t>
      </w:r>
      <w:hyperlink r:id="rId12" w:history="1">
        <w:r w:rsidRPr="0053302D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http://conf.sfu-kras.ru/sites/mn2014/directions.html</w:t>
        </w:r>
      </w:hyperlink>
      <w:r w:rsidRPr="008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0,5/0,25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Мигунова М.И. Последствия предоставления налоговых льгот малому бизнесу. </w:t>
      </w:r>
      <w:r w:rsidRPr="008D4E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Учет, анализ, аудит: проблемы теории и практики: сб. науч. тр. / под общ. ред. Г.И. Золотаревой ; Сиб. гос. аэрокосмич. ун-т. – Красноярск, 2014. – Вып. 13.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Покивайлова Е.А. </w:t>
      </w:r>
      <w:r w:rsidRPr="008D4E6A">
        <w:rPr>
          <w:rFonts w:ascii="Times New Roman" w:eastAsia="+mn-ea" w:hAnsi="Times New Roman" w:cs="Times New Roman"/>
          <w:sz w:val="24"/>
          <w:szCs w:val="24"/>
          <w:lang w:eastAsia="ru-RU"/>
        </w:rPr>
        <w:t>Особенности образования резерва по сомнительным долгам: бухгалтерский и налоговый учет. Центральный научный журнал «Актуальные Проблемы Гуманитарных И Естественных Наук» , г. Москва  - № 12 (71) декабрь 2014г.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0,6/0,3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Покивайлова Екатерина Александровна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E6A">
        <w:rPr>
          <w:rFonts w:ascii="Times New Roman" w:eastAsia="+mn-ea" w:hAnsi="Times New Roman" w:cs="Times New Roman"/>
          <w:sz w:val="24"/>
          <w:szCs w:val="24"/>
          <w:lang w:eastAsia="ru-RU"/>
        </w:rPr>
        <w:t>Управление дебиторской задолженностью, как фактор успешной хозяйственной деятельности предприятии. Материалы «Международная Научно-Практической  Конференции «Развитие Экономики и Менеджмента в Современном Мире», - г. Воронеж – декабрь 2014г.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0,6/0,3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Статистический анализ динамики занятого и безработного населения в РФ. Наука и современность-2014»: сб. мат-в ХХХIY межд. науч.- практ. конф., 16 декабря 2014г. /  Под общ. ред. Ж.А. Мингалевой, С.С. Чернова. – Новосибирск: ООО агентство «СИБПРИНТ», 2014. – С. 180-185,  0,2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Динамика и структура платных услуг на душу населения Красноярского края. Наука и современность-2014»: сб. мат-в ХХХIY межд. науч.- практ. конф., 16 декабря 2014г. /  Под общ. ред. Ж.А. Мингалевой, С.С. Чернова. – Новосибирск: ООО агентство «СИБПРИНТ», 2014. – С. 174-180,  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Платные услуги Красноярского края: факторный анализ и оценка вариации развития. Проблемы современной экономики»: сб. мат-в ХХII межд. науч.- практ. конф., 23 декабря 2014г. в 2-х частях. Часть 2/  Под общ. ред. Ж.А. Мингалевой, С.С. Чернова. – Екатеринбург: Изд-во Уральского ин-та фондового рынка, 2014.- С.159-164,  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Статистический анализ динамики структуры безработного населения в РФ. Проблемы современной экономики»: сб. мат-в ХХII межд. науч.- практ. конф., 23 декабря 2014г. в 2-х частях. Часть 2/  Под общ. ред. Ж.А. Мингалевой, С.С. Чернова. – Екатеринбург: Изд-во Уральского ин-та фондового рынка, 2014.- С. 164- 171, 0,4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Динамика и структура расходов населения на услуги ЖКХ (на примере Красноярского края). Проблемы современной экономики»: сб. мат-в ХХII межд. науч.- практ. конф., 23 декабря 2014г. в 2-х частях. Часть 2/  Под общ. ред. Ж.А. Мингалевой, С.С. Чернова. – Екатеринбург: Изд-во Уральского ин-та фондового рынка, 2014.- С.172-176,  0,2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Перевозка грузов в РФ: статистический анализ. Достижения вузовской науки: сб. мат-в ХIII межд. науч.- практ. конф., 31 декабря 2014г./ Под общ. ред. Ж.А. Мингалевой, С.С. Чернова.- Новосибирск: ООО агентство «СИБПРИНТ», 2014. – С.145-150, 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 Е.В. Статистическая оценка структуры и вариации расходов населения по ЖКХ. Достижения вузовской науки: сб. мат-в ХIII межд. науч.- практ. конф., 31 декабря 2014г. / Под общ. ред. Ж.А. Мингалевой, С.С. Чернова.-  Новосибирск: ООО агентство «СИБПРИНТ», 2013. – С. 150-154,  0,2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Ю.И. Бюджетное субсидирование малых инновационных предприятий: критерии отбора. Новые перспективы развития экономических наук: инновации и риски: 2 Часть (менеджмент, финансы, деньги и кредит)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научно-практическая конференция, г. Москва 01.02.2014 г. Аналитический центр «Экономика и финансы», 2014. – 138 с.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: 0869-1296 с. 91-94, 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Ю.И. Перспективы развития стимулирующих трансфертов. Перспективы развития науки и образования: сборник научных трудов по материалам Международной научно-практической конференции 31 января 2014 г.: в 15 частях. Часть 14; М-во обр. и науки РФ. Тамбов: Из-во ТРОО «Бизнес-наука-общество», 2004. С. 156-160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ISNB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978-5-4343-0505-1  (Часть 14) Эл. Ресурс: http://www.ucom.ru/doc/conf/ 2014_01_31_14.pdf, 0,29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Ю.И. </w:t>
      </w:r>
      <w:r w:rsidRPr="008D4E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Проблемы и перспективы самообложения граждан в РФ. </w:t>
      </w:r>
      <w:r w:rsidRPr="008D4E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Экономические и социальные науки: прошлое, настоящее и будущее. Материалы </w:t>
      </w:r>
      <w:r w:rsidRPr="008D4E6A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III</w:t>
      </w:r>
      <w:r w:rsidRPr="008D4E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Международной заочной научно-практической конференции, 30 апреля 2014 г. – М.: Издательский дом «Экономическая газета», 2014. С. 335-354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1,0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 Ш.А. Анализ динамики взяточничества в России и его социально-экономические последствия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 А. Краев — Красноярск: Сиб. федер. ун-т., 2014,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 Ш.А. Анализ динамики табачного бизнеса в России и его последствия на социально-экономическую жизнь стран.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края, [Электронный ресурс], № заказа 1644/отв. ред. О. А. Краев — Красноярск: Сиб. федер. ун-т. 2014,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0,3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Шовхалов Ш.А. Влияние культуры на формирование и развитие предпринимательства. Проблемы развития рынка товаров и услуг: перспективы и возможности субъектов РФ: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сборник материалов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Всероссийской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с международным участием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[Электронный ресурс] — Красноярск: Сиб. федер. ун-т. 2014,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Шовхалов Ш.А. Развитие социального предпринимательства в России.Проблемы развития рынка товаров и услуг: перспективы и возможности субъектов РФ: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сборник материалов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Всероссийской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с международным участием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[Электронный ресурс] — Красноярск: Сиб. федер. ун-т. 2014,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0,2 п.л.</w:t>
      </w:r>
    </w:p>
    <w:p w:rsidR="00E87AF9" w:rsidRPr="008D4E6A" w:rsidRDefault="00E87AF9" w:rsidP="00E87AF9">
      <w:pPr>
        <w:numPr>
          <w:ilvl w:val="0"/>
          <w:numId w:val="2"/>
        </w:numPr>
        <w:tabs>
          <w:tab w:val="left" w:pos="1418"/>
          <w:tab w:val="left" w:pos="4880"/>
          <w:tab w:val="left" w:pos="8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Шовхалов Ш.А.Влияние религиозного фактора на коммерческую деятельность на примере исламской доктрины. Культура и религия в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проблемы и перспективы: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материалы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международной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(9 декабря 2014 г.). — Саратов: Академия бизнеса. 2014. — 107 с.,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п.л.</w:t>
      </w: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tbl>
      <w:tblPr>
        <w:tblW w:w="10876" w:type="dxa"/>
        <w:jc w:val="center"/>
        <w:tblInd w:w="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66"/>
        <w:gridCol w:w="11"/>
        <w:gridCol w:w="3120"/>
        <w:gridCol w:w="1982"/>
        <w:gridCol w:w="997"/>
        <w:gridCol w:w="709"/>
        <w:gridCol w:w="1276"/>
        <w:gridCol w:w="1315"/>
      </w:tblGrid>
      <w:tr w:rsidR="00E87AF9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Владимирова О.Н.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Мониторинг инновационной восприимчивости региона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Наука и практика.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2015.- № 2 (18).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 47-53.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2225-9538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Шовхалов Ш.А.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Рынок мусульманских товаров и российское законодательство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Стратегии устойчивого развития национальной и мировой 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4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ISBN 978-5-906836-22-9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Сметанина Н.С.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Тенденции развития оборота общественного питания Красноярского края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Инновационная экономика: перспективы развития и совершенствования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№ 1(6)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184-189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ISBN 978-5-9906799-0-0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Соловьева Н.А.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Деловая активность: понятие и показатели оценки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Международный Научный Институт "Educatio" Ежемесячный научный журнал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, № 2 (9) / 2015, ч.1, 169с.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С.150-153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 34567-1769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Соловьева Н.А.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Современное образование: состояние и перспективы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материалов  V Всероссийская научно-практическая конференция с международным участием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c/177-179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ISBN 978-5-905301-10-0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Marina Migunova, Veronika Mamontova 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Directions in innovative audit of accounting and tax policy within the framework of internal control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Modern European Researches, Salzburg, Austria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Issue 3,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126-131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 2311-8806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Мигунова М.И., Гладышева Е.А.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Оценка налоговой нагрузки на примере ОАО «Сбстройтехнология»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Учет, анализ, аудит: проблемы теории и практики: сб. науч. тр. / под общ. Ред. Г.И. Золотаревой; Сиб. гос. аэрокосмич. ун-т. – Красноярск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Вып. 14.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С.97-102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2307-5759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Игнатова Т.В.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Проблемы формирования налоговых регистров при совершении экспортных операций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53302D">
                <w:rPr>
                  <w:rFonts w:asciiTheme="majorBidi" w:hAnsiTheme="majorBidi" w:cstheme="majorBidi"/>
                  <w:sz w:val="24"/>
                  <w:szCs w:val="24"/>
                </w:rPr>
                <w:t xml:space="preserve">Институты и механизмы инновационного развития: мировой опыт и российская </w:t>
              </w:r>
              <w:r w:rsidRPr="0053302D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>практика</w:t>
              </w:r>
            </w:hyperlink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200-203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 978-5-9907514-3-9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Поклонова, Е.В. 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Арутюнян, К.М.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Инвестиции в основной капитал: статистическая оценка динамики и структуры (на примере Красноярского края)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Инновационный вектор развития в условиях риска и неопределенности: новые задачи и пути их решения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30-31 марта 2015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С.101-106. (0,32 п. л.);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978-5-8392-0511-6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 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Арутюнян, К.М.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Динамические тенденции инвестиций в основной капитал по Красноярскому краю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ХХII межд. науч.- практ. конф.,: «Экономика и управление в ХХI веке: тенденции развития»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 июня 2015г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 124-133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(0,5п.л.)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978-5-00068-311-8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Дьяченко,П.А.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Тенденции структуры занятого населения по видам экономической деятельности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I межд. науч.- практ. конф.: «Политика, экономика и социальная сфера: проблемы взаимодействия»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10 декабря 2015г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С.86-92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(0,3 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978-5-00068-403-0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Колбашев, Д.А.,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Перфильева, К.А.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Банки: статистический анализ территориального размещения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I межд. науч.- практ. конф.: «Политика, экономика и социальная сфера: проблемы взаимодействия»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10 декабря 2015г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С.93-98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(0,3 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978-5-00068-403-0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Баган, К.А.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Кофейня-перспективный сегмент ресторанного рынка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I межд. науч.- практ. конф.: «Политика, экономика и социальная сфера: проблемы взаимодействия»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10 декабря 2015г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С.80-86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(0,3 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978-5-00068-403-0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Ускова, П.А.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Рынок ЖКХ: состояние и проблемы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ХХХYII межд. науч.- практ. конф.: «Современные тенденции в экономике и управлении: новый взгляд», ч.2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24 декабря 2015г.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С. 129-135  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(0,4п.л.)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978-5-00068-439-9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Баган, К.А.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Динамика оборота общественного питания в Красноярском крае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ХХХYII межд. науч.- практ. конф.: «Современные тенденции в экономике и управлении: новый взгляд», ч.2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г. Новосибирск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24 декабря 2015г.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С.123-128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(0,3п.л.)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978-5-00068-439-9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Поклонова, Е.В.,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Колбашев, Д.А.,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Перфильева, К.А.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Прибыль банков РФ: оценка динамики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сб. мат-в ХLYII межд. науч.- практ. конф.: «Актуальные вопросы экономических наук» г. Новосибирск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30декабря 2015г.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С.222-227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(0,2)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978-5-00068-427-6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  <w:tr w:rsidR="00E87AF9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финансового потенциала малого и среднего предпринимательства, как кластерного образования Красноярского края</w:t>
            </w: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Инновационное развитие экономики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№ 2 (26)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73-78.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2223-7984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AF9" w:rsidRPr="0053302D" w:rsidRDefault="00E87AF9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РИНЦ</w:t>
            </w:r>
          </w:p>
        </w:tc>
      </w:tr>
    </w:tbl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F9" w:rsidRDefault="00E87AF9" w:rsidP="00E8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lastRenderedPageBreak/>
        <w:t xml:space="preserve">Астраханцева И.А. ,  Першина Н.А. Финансовое моделирование в контуре бюджетного процесса // 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Newman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Foreign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Policy</w:t>
      </w:r>
      <w:r w:rsidRPr="0053302D">
        <w:rPr>
          <w:rFonts w:asciiTheme="majorBidi" w:hAnsiTheme="majorBidi" w:cstheme="majorBidi"/>
          <w:sz w:val="24"/>
          <w:szCs w:val="24"/>
        </w:rPr>
        <w:t>. 2016. №33 (77) октябрь-ноябрь. С.53-56.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Астраханцева И.А. Методический аспект разработки кредитной политики организации // 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Newman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Foreign</w:t>
      </w:r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Policy</w:t>
      </w:r>
      <w:r w:rsidRPr="0053302D">
        <w:rPr>
          <w:rFonts w:asciiTheme="majorBidi" w:hAnsiTheme="majorBidi" w:cstheme="majorBidi"/>
          <w:sz w:val="24"/>
          <w:szCs w:val="24"/>
        </w:rPr>
        <w:t>. 2016. №31(75) июнь-июль. С.14-16.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Астраханцева И.А. Разработка финансовой политики организации в системе риск-менеджмента / В сборнике материалов П Всерос. науч.-практ. конф. с международным участием «Проблемы развития рынка товаров и услуг: перспективы и возможности субъектов РФ (11–13 мая 2016 г.)» [Электронный ресурс] / под общ. ред. Ю. Ю. Сусловой. — Красноярск.: Сиб. федер. ун-т, 2016. С.226-229.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Горошко А.С. Рынок инноваций в РФ: состояние, факторы, перспективы развития/ А.С. Горошко, Е.В. Поклонова//«Актуальные вопросы экономических наук»:  сб. мат-в L межд. науч.- практ. конф., 16 мая, 10 июня 2016г. в 2-х частях. Часть 1 /  Под общ. ред. С.С. Чернова. – Новосибирск: Изд-во ЦРНС, 2016. – С.99-106 (9 стр. 0,4 п.л.) – тираж 500 экз. (ISBN-978-5-00068-584-6 (Часть 1))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Игнатова Т.В., Алексеева П.В. Методические аспекты трансформации статьи «Дебиторская задолженность» в формат МСФО // Новое слово в науке: перспективы развития: Материалы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IX</w:t>
      </w:r>
      <w:r w:rsidRPr="0053302D">
        <w:rPr>
          <w:rFonts w:asciiTheme="majorBidi" w:hAnsiTheme="majorBidi" w:cstheme="majorBidi"/>
          <w:sz w:val="24"/>
          <w:szCs w:val="24"/>
        </w:rPr>
        <w:t xml:space="preserve"> международ. науч.-практ. конференции. – Чебоксары: ЦНС «Интерактив плюс», 2016. – № 3 (9). – С.161 -164.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Игнатова Т.В., Облаева П.В. Оценка дебиторской задолженности в соответствии с МСФО // Инновационная экономика: перспективы развития и совершенствования. – Курск: ЗАО «Университетская книга», 2016 – С.90-94.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Крылова М.В.</w:t>
      </w:r>
      <w:r w:rsidRPr="0053302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sz w:val="24"/>
          <w:szCs w:val="24"/>
        </w:rPr>
        <w:t xml:space="preserve">Анализ состояния и тенденции развития рынка общественного питания Красноярского края // </w:t>
      </w:r>
      <w:r w:rsidRPr="0053302D">
        <w:rPr>
          <w:rFonts w:asciiTheme="majorBidi" w:hAnsiTheme="majorBidi" w:cstheme="majorBidi"/>
          <w:bCs/>
          <w:sz w:val="24"/>
          <w:szCs w:val="24"/>
        </w:rPr>
        <w:t>Проблемы развития рынка товаров и услуг: перспективы и возможности субъектов РФ</w:t>
      </w:r>
      <w:r w:rsidRPr="0053302D">
        <w:rPr>
          <w:rFonts w:asciiTheme="majorBidi" w:hAnsiTheme="majorBidi" w:cstheme="majorBidi"/>
          <w:sz w:val="24"/>
          <w:szCs w:val="24"/>
        </w:rPr>
        <w:t xml:space="preserve"> [Электронный ресурс] : сборник материалов II Всероссийской научно-практической конференции с международным участием (Красноярск, 11–13 мая 2016 г.) / Сиб. федер. ун-т, Торг.-эконом. ин-т ; под общ. ред. Ю. Ю. Суслова. – 2016. С. 240-244</w:t>
      </w:r>
    </w:p>
    <w:p w:rsidR="00E87AF9" w:rsidRPr="0053302D" w:rsidRDefault="00E87AF9" w:rsidP="00E87AF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Гаврильченко Г. С. Актуальность банковского финансирования инноваций. Сборник материалов.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53302D">
        <w:rPr>
          <w:rFonts w:asciiTheme="majorBidi" w:hAnsiTheme="majorBidi" w:cstheme="majorBidi"/>
          <w:sz w:val="24"/>
          <w:szCs w:val="24"/>
        </w:rPr>
        <w:t xml:space="preserve"> Международной научно-практической конференции «Управление инновациями: теория, методология, практика» 29.01.2016. г.Новосибирск с.11-17.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Банковский сектор: статистическая оценка кредитования юридических лиц/ Е.В. Поклонова, М.В. Шейнгальц// «Достижения вузовской науки»: сб. мат-в ХХ</w:t>
      </w:r>
      <w:r w:rsidRPr="0053302D">
        <w:rPr>
          <w:rFonts w:asciiTheme="majorBidi" w:hAnsiTheme="majorBidi" w:cstheme="majorBidi"/>
          <w:sz w:val="24"/>
          <w:szCs w:val="24"/>
        </w:rPr>
        <w:t>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межд. науч.- практ. конф., 2 февраля, 19 февраля 2016г. /  Под общ. ред. С.С. Чернова. – Новосибирск: Изд-во ЦРНС, 2016. – С.260-268. (9стр. 0,4 п.л.) – тираж 500 экз.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Поклонова, Е.В. Денежные доходы населения РФ: статистический анализ динамики и структуры источников/ Е.В. Поклонова, П.В. Захаренко// «Политика, экономика и социальная сфера: проблемы взаимодействия»: сб. мат-в </w:t>
      </w:r>
      <w:r w:rsidRPr="0053302D">
        <w:rPr>
          <w:rFonts w:asciiTheme="majorBidi" w:hAnsiTheme="majorBidi" w:cstheme="majorBidi"/>
          <w:sz w:val="24"/>
          <w:szCs w:val="24"/>
        </w:rPr>
        <w:t>III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межд. науч.- практ. конф., 5 марта, 6 апреля   2016г.. /  Под общ. ред. С.С. Чернова. – Новосибирск: Изд-во ЦРНС, 2016. – С.134-141. (8 стр. 0,3 п.л.) – тираж 500 экз.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Поклонова, Е.В. Динамические тенденции и структурные сдвиги на рынке первичного жилья/ Е.В. Поклонова, В.С. Шаров// «Политика, экономика и социальная сфера: проблемы взаимодействия»: сб. мат-в III межд. науч.- практ. конф., 5 марта, 6 апреля  2016г. /  Под общ. ред. С.С. Чернова. – Новосибирск: Изд-во ЦРНС, 2016. – С.146-153. (9 стр. 0,3 п.л.) – 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Динамические тенденции развития оборота розничной торговли в Красноярском крае / Е.В. Поклонова, К.М. Арутюнян //«Проблемы современной экономики»: сб. мат-в ХХХY межд. науч.- практ. конф., 19 декабря 2016г. /  Под общ. ред. С.С. Чернова. – Новосибирск: Изд-во ЦРНС, 2016. – С.202-208 (6 стр. 0,3 п.л.) – тираж 500 экз.  (ISBN-978-5-00068-717-8)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lastRenderedPageBreak/>
        <w:t>Поклонова, Е.В. Импортозамещение в Российской Федерации: проблемы, количественная оценка состояния / Е.В. Поклонова, П.В. Захаренко //«Проблемы современной экономики»: сб. мат-в ХХХY межд. науч.- практ. конф., 19 декабря 2016г. /  Под общ. ред. С.С. Чернова. – Новосибирск: Изд-во ЦРНС, 2016. – С. 73-79 (7 стр. 0,3 п.л.) – тираж 500 экз.  (ISBN-978-5-00068-717-8)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Инвестиции в основной капитал РФ: оценка динамических тенденций развития / Е.В. Поклонова, К.М. Арутюнян // «Экономика и управление: анализ тенденций и перспектив развития»: сб. мат-в ХХYIII межд. науч.- практ. конф., 8 июля, 21 июля 2016г. /  Под общ. ред. С.С. Чернова. – Новосибирск: Изд-во ЦРНС, 2016. – С. 106-111(6 стр. 0,3 п.л.) – тираж 500 экз.  (ISBN-978-5-00068-610-2)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Инвестиции в основной капитал РФ: оценка структурных сдвигов по системе признаков / Е.В. Поклонова, К.М. Арутюнян // «Экономика и управление: анализ тенденций и перспектив развития»: сб. мат-в ХХYIII межд. науч.- практ. конф., 8 июля, 21 июля  2016г. /  Под общ. ред. С.С. Чернова. – Новосибирск: Изд-во ЦРНС, 2016. – С. 112-119 (8 стр. 0,4 п.л.) – тираж 500 экз.  (ISBN-978-5-00068-610-2)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Инвестиции: сущность, виды, оценка динамики и структуры по Красноярскому краю / Е.В. Поклонова, И.Н. Телешев // «Экономика и управление: анализ тенденций и перспектив развития»: сб. мат-в ХХYII межд. науч.- практ. конф., 24 мая, 17 июня 2016г. /  Под общ. ред. С.С. Чернова. – Новосибирск: Изд-во ЦРНС, 2016. – С. 179-189 (10 стр. 0,6 п.л.) – тираж 500 экз.  (ISBN-978-5-00068-588-4)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Поклонова, Е.В. Мобильное приложение – инструмент развития предприятий общественного питания/ Е.В. Поклонова, Е.Ю. Савина// «Политика, экономика и социальная сфера: проблемы взаимодействия»: сб. мат-в </w:t>
      </w:r>
      <w:r w:rsidRPr="0053302D">
        <w:rPr>
          <w:rFonts w:asciiTheme="majorBidi" w:hAnsiTheme="majorBidi" w:cstheme="majorBidi"/>
          <w:sz w:val="24"/>
          <w:szCs w:val="24"/>
        </w:rPr>
        <w:t>III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межд. науч.- практ. конф.,5 марта, 6 апреля  2016г.. /  Под общ. ред. С.С. Чернова. – Новосибирск: Изд-во ЦРНС, 2016. – С.141-146. (6стр. 0,3 п.л.) – тираж 500 экз.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Население РФ и Красноярского края: оценка динамики и естественных факторов развития/ Е.В. Поклонова, А.А. Нижегородова, Д.К. Сотник//«Экономика и управление в ХХ</w:t>
      </w:r>
      <w:r w:rsidRPr="0053302D">
        <w:rPr>
          <w:rFonts w:asciiTheme="majorBidi" w:hAnsiTheme="majorBidi" w:cstheme="majorBidi"/>
          <w:sz w:val="24"/>
          <w:szCs w:val="24"/>
        </w:rPr>
        <w:t>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веке: тенденции развития: сб. мат-в ХХ</w:t>
      </w:r>
      <w:r w:rsidRPr="0053302D">
        <w:rPr>
          <w:rFonts w:asciiTheme="majorBidi" w:hAnsiTheme="majorBidi" w:cstheme="majorBidi"/>
          <w:sz w:val="24"/>
          <w:szCs w:val="24"/>
        </w:rPr>
        <w:t>YIII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межд. науч.- практ. конф., 26 апреля, 17 мая 2016г. в 2-х частях. Часть 1 /  Под общ. ред. С.С. Чернова. – Новосибирск: Изд-во ЦРНС, 2016. – С.137-142   (6 стр. 0,3 п.л.) – тираж 500 экз. 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Поклонова, Е.В. Номинальная заработная плата в РФ: динамика и дифференциация размера по основным признакам/ Е.В. Поклонова, П.В. Захаренко// «Экономика и управление в ХХI веке: тенденции развития: сб. мат-в ХХYIII межд. науч.- практ. конф., 26 апреля, 17 мая 2016г. в 2-х частях. Часть 1 /  Под общ. ред. С.С. Чернова. – Новосибирск: Изд-во ЦРНС, 2016. – С. 155-162 (9 стр. 0,4 п.л.) – тираж 500 экз.  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Пенсионное обеспечение РФ как инструмент социальной защиты населения /Е.В. Поклонова, В.А. Стародуб // «Проблемы современной экономики»: сб. мат-в ХХХY межд. науч.- практ. конф., 19 декабря 2016г. /  Под общ. ред. С.С. Чернова. – Новосибирск: Изд-во ЦРНС, 2016. – С. 61-66 (7 стр. 0,4 п.л.) – тираж 500 экз.  (ISBN-978-5-00068-717-8)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Состояние и проблемы развития рынка образовательных услуг/ Е.В. Поклонова, И.П. Загора // Вестник Сибирского университета потребительской кооперации. – Новосибирск, 2016.-№2(17).-С.42-51 (0,82 п.л.), 13 стр. (ISBN 2305-7408)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Статистический анализ брачности, разводимости и миграции населения в РФ и Красноярском крае/ Е.В. Поклонова, А.А. Нижегородова, Д.К. Сотник //«Актуальные вопросы экономических наук»:  сб. мат-в L межд. науч.- практ. конф., 16 мая, 10 июня 2016г. в 2-х частях. Часть 1 /  Под общ. ред. С.С. Чернова. – Новосибирск: Изд-во ЦРНС, 2016. – С.132-138 (8 стр. 0,34 п.л.) – тираж 500 экз. (ISBN-978-5-00068-584-6 (Часть 1))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Поклонова, Е.В. Статистический анализ динамики  реальной заработной платы / Е.В. Поклонова, П.В. Захаренко //«Экономика и управление: анализ тенденций и 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lastRenderedPageBreak/>
        <w:t>перспектив развития»: сб. мат-в ХХYIII межд. науч.- практ. конф., 8 июля, 21 июля  2016г. /  Под общ. ред. С.С. Чернова. – Новосибирск: Изд-во ЦРНС, 2016. – С. 61-67 (7 стр. 0,3 п.л.) – тираж 500 экз.  (</w:t>
      </w:r>
      <w:r w:rsidRPr="0053302D">
        <w:rPr>
          <w:rFonts w:asciiTheme="majorBidi" w:hAnsiTheme="majorBidi" w:cstheme="majorBidi"/>
          <w:sz w:val="24"/>
          <w:szCs w:val="24"/>
        </w:rPr>
        <w:t>ISBN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>-978-5-00068-610-2)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Статистический анализ динамики строительства квартир в РФ и Красноярском крае/ Е.В. Поклонова, В.С. Шаров// «Достижения вузовской науки»: сб. мат-в ХХ</w:t>
      </w:r>
      <w:r w:rsidRPr="0053302D">
        <w:rPr>
          <w:rFonts w:asciiTheme="majorBidi" w:hAnsiTheme="majorBidi" w:cstheme="majorBidi"/>
          <w:sz w:val="24"/>
          <w:szCs w:val="24"/>
        </w:rPr>
        <w:t>I</w:t>
      </w:r>
      <w:r w:rsidRPr="0053302D">
        <w:rPr>
          <w:rFonts w:asciiTheme="majorBidi" w:hAnsiTheme="majorBidi" w:cstheme="majorBidi"/>
          <w:sz w:val="24"/>
          <w:szCs w:val="24"/>
          <w:lang w:val="ru-RU"/>
        </w:rPr>
        <w:t xml:space="preserve"> межд. науч.- практ. конф., 2 февраля, 19 февраля 2016г. /  Под общ. ред. С.С. Чернова. – Новосибирск: Изд-во ЦРНС, 2016. – С.251-260. (10 стр. 0,4 п.л.) – тираж 500 экз.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Поклонова, Е.В. Финансовый рынок РФ: функции, значение, виды, мониторинг дебиторской задолженности / Е.В. Поклонова, М.В. Плюснина // «Экономика и управление: анализ тенденций и перспектив развития»: сб. мат-в ХХYII межд. науч.- практ. конф., 24 мая, 17 июня  2016г. /  Под общ. ред. С.С. Чернова. – Новосибирск: Изд-во ЦРНС, 2016. – С. 174- 179 (6 стр. 0,3 п.л.) – тираж 500 экз.  (ISBN-978-5-00068-588-4)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Гаврильченко Г. С. Контроль рублем денежных потоков и ответственность за финансовую дисциплину. The Newman in Foreign Policy, №33(77) Россия,  с.60-66.- ЭТО НЕ ВАК</w:t>
      </w:r>
    </w:p>
    <w:p w:rsidR="00E87AF9" w:rsidRPr="0053302D" w:rsidRDefault="00E87AF9" w:rsidP="00E87AF9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lang w:val="ru-RU"/>
        </w:rPr>
        <w:t>Телешев И.Н., Дягель О.Ю. Структурные сдвиги в инвестициях в основной капитал: эмпирическая оценка основных тенденций в экономике Красноярского края // В сборнике научных статей 4-й Международной молодежной научной конференции «Будущее науки-2016»: в 4-х томах. Ответственный редактор Гор</w:t>
      </w:r>
      <w:r>
        <w:rPr>
          <w:rFonts w:asciiTheme="majorBidi" w:hAnsiTheme="majorBidi" w:cstheme="majorBidi"/>
          <w:sz w:val="24"/>
          <w:szCs w:val="24"/>
          <w:lang w:val="ru-RU"/>
        </w:rPr>
        <w:t>охов А.А.. 2016. С. 359-364. .</w:t>
      </w:r>
    </w:p>
    <w:p w:rsidR="00F2717A" w:rsidRDefault="00F2717A"/>
    <w:sectPr w:rsidR="00F2717A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7D89"/>
    <w:multiLevelType w:val="hybridMultilevel"/>
    <w:tmpl w:val="8C9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5CFD"/>
    <w:multiLevelType w:val="hybridMultilevel"/>
    <w:tmpl w:val="2794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AF9"/>
    <w:rsid w:val="00184F94"/>
    <w:rsid w:val="001B3154"/>
    <w:rsid w:val="002C382D"/>
    <w:rsid w:val="0042267F"/>
    <w:rsid w:val="004753C6"/>
    <w:rsid w:val="00490308"/>
    <w:rsid w:val="00795AE5"/>
    <w:rsid w:val="008A7FA9"/>
    <w:rsid w:val="008D414A"/>
    <w:rsid w:val="009356FB"/>
    <w:rsid w:val="009F575E"/>
    <w:rsid w:val="00A31AA5"/>
    <w:rsid w:val="00A77298"/>
    <w:rsid w:val="00A81B71"/>
    <w:rsid w:val="00E22856"/>
    <w:rsid w:val="00E87AF9"/>
    <w:rsid w:val="00EF3D31"/>
    <w:rsid w:val="00F2717A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  <w:style w:type="paragraph" w:styleId="a4">
    <w:name w:val="List Paragraph"/>
    <w:basedOn w:val="a"/>
    <w:uiPriority w:val="34"/>
    <w:qFormat/>
    <w:rsid w:val="00E87AF9"/>
    <w:pPr>
      <w:ind w:left="720"/>
      <w:contextualSpacing/>
    </w:pPr>
  </w:style>
  <w:style w:type="paragraph" w:styleId="2">
    <w:name w:val="Body Text Indent 2"/>
    <w:basedOn w:val="a"/>
    <w:link w:val="20"/>
    <w:rsid w:val="00E87AF9"/>
    <w:pPr>
      <w:spacing w:after="0" w:line="240" w:lineRule="auto"/>
      <w:ind w:left="-426" w:firstLine="56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E87AF9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nauki.com/PDF/14EMN414.pdf" TargetMode="External"/><Relationship Id="rId13" Type="http://schemas.openxmlformats.org/officeDocument/2006/relationships/hyperlink" Target="http://elibrary.ru/item.asp?id=24644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36128&amp;selid=21057147" TargetMode="External"/><Relationship Id="rId12" Type="http://schemas.openxmlformats.org/officeDocument/2006/relationships/hyperlink" Target="http://conf.sfu-kras.ru/sites/mn2014/dire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36128" TargetMode="External"/><Relationship Id="rId11" Type="http://schemas.openxmlformats.org/officeDocument/2006/relationships/hyperlink" Target="http://conf.sfu-kras.ru/sites/mn2014/directions.html" TargetMode="External"/><Relationship Id="rId5" Type="http://schemas.openxmlformats.org/officeDocument/2006/relationships/hyperlink" Target="http://elibrary.ru/item.asp?id=210571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nf.sfu-kras.ru/sites/mn2014/direc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sfu-kras.ru/sites/mn2014/direc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5081</Words>
  <Characters>28968</Characters>
  <Application>Microsoft Office Word</Application>
  <DocSecurity>0</DocSecurity>
  <Lines>241</Lines>
  <Paragraphs>67</Paragraphs>
  <ScaleCrop>false</ScaleCrop>
  <Company>Krokoz™</Company>
  <LinksUpToDate>false</LinksUpToDate>
  <CharactersWithSpaces>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2017-09-19T12:13:00Z</dcterms:created>
  <dcterms:modified xsi:type="dcterms:W3CDTF">2017-09-19T12:13:00Z</dcterms:modified>
</cp:coreProperties>
</file>