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2"/>
        <w:gridCol w:w="1185"/>
        <w:gridCol w:w="671"/>
        <w:gridCol w:w="5671"/>
        <w:gridCol w:w="1006"/>
      </w:tblGrid>
      <w:tr w:rsidR="00EE3106" w:rsidRPr="00EE3106" w:rsidTr="004106F8">
        <w:trPr>
          <w:trHeight w:hRule="exact" w:val="1334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РФ</w:t>
            </w:r>
          </w:p>
          <w:p w:rsidR="00EE3106" w:rsidRPr="00EE3106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</w:p>
          <w:p w:rsidR="00EE3106" w:rsidRPr="00EE3106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«СИБИРСКИЙ ФЕДЕРАЛЬНЫЙ УНИВЕРСИТЕТ»</w:t>
            </w:r>
          </w:p>
        </w:tc>
      </w:tr>
      <w:tr w:rsidR="00EE3106" w:rsidRPr="00EE3106" w:rsidTr="004106F8">
        <w:trPr>
          <w:trHeight w:hRule="exact" w:val="416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1"/>
                <w:szCs w:val="31"/>
                <w:lang w:val="en-US"/>
              </w:rPr>
            </w:pPr>
          </w:p>
        </w:tc>
      </w:tr>
      <w:tr w:rsidR="00EE3106" w:rsidRPr="00EE3106" w:rsidTr="004106F8">
        <w:trPr>
          <w:trHeight w:hRule="exact" w:val="1721"/>
        </w:trPr>
        <w:tc>
          <w:tcPr>
            <w:tcW w:w="852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85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6342" w:type="dxa"/>
            <w:gridSpan w:val="2"/>
          </w:tcPr>
          <w:p w:rsidR="00EE3106" w:rsidRPr="00EE3106" w:rsidRDefault="004106F8" w:rsidP="004106F8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УКАЗАНИЯ ПО ВЫПОЛНЕНИЮ КОНТРОЛЬНОЙ</w:t>
            </w:r>
            <w:r w:rsidRPr="00410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06" w:type="dxa"/>
          </w:tcPr>
          <w:p w:rsidR="00EE3106" w:rsidRPr="004106F8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416"/>
        </w:trPr>
        <w:tc>
          <w:tcPr>
            <w:tcW w:w="852" w:type="dxa"/>
          </w:tcPr>
          <w:p w:rsidR="00EE3106" w:rsidRPr="004106F8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25764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.О.15 Сервисы цифровой экономики</w:t>
            </w:r>
          </w:p>
        </w:tc>
        <w:tc>
          <w:tcPr>
            <w:tcW w:w="1006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277"/>
        </w:trPr>
        <w:tc>
          <w:tcPr>
            <w:tcW w:w="852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31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1006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277"/>
        </w:trPr>
        <w:tc>
          <w:tcPr>
            <w:tcW w:w="852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6" w:type="dxa"/>
            <w:gridSpan w:val="2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1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6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416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E3106" w:rsidP="00EE310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2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подготовки / специальность</w:t>
            </w:r>
          </w:p>
        </w:tc>
      </w:tr>
      <w:tr w:rsidR="00EE3106" w:rsidRPr="00EE3106" w:rsidTr="004106F8">
        <w:trPr>
          <w:trHeight w:hRule="exact" w:val="277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25764" w:rsidP="00E2576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43.03.01 Сервис</w:t>
            </w:r>
          </w:p>
        </w:tc>
      </w:tr>
      <w:tr w:rsidR="00EE3106" w:rsidRPr="00EE3106" w:rsidTr="004106F8">
        <w:trPr>
          <w:trHeight w:hRule="exact" w:val="555"/>
        </w:trPr>
        <w:tc>
          <w:tcPr>
            <w:tcW w:w="852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6" w:type="dxa"/>
            <w:gridSpan w:val="2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1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6" w:type="dxa"/>
          </w:tcPr>
          <w:p w:rsidR="00EE3106" w:rsidRPr="00EE3106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416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E3106" w:rsidRDefault="00EE3106" w:rsidP="00EE310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профиль</w:t>
            </w:r>
            <w:proofErr w:type="spellEnd"/>
            <w:r w:rsidRPr="00EE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EE3106" w:rsidRPr="00EE3106" w:rsidTr="004106F8">
        <w:trPr>
          <w:trHeight w:hRule="exact" w:val="555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25764" w:rsidP="00E2576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43.03.01.3</w:t>
            </w:r>
            <w:r w:rsidR="00EE3106" w:rsidRPr="00E2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торговле</w:t>
            </w:r>
          </w:p>
        </w:tc>
      </w:tr>
      <w:tr w:rsidR="00EE3106" w:rsidRPr="00EE3106" w:rsidTr="004106F8">
        <w:trPr>
          <w:trHeight w:hRule="exact" w:val="1250"/>
        </w:trPr>
        <w:tc>
          <w:tcPr>
            <w:tcW w:w="852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6" w:type="dxa"/>
            <w:gridSpan w:val="2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1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6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6B176A">
        <w:trPr>
          <w:trHeight w:hRule="exact" w:val="277"/>
        </w:trPr>
        <w:tc>
          <w:tcPr>
            <w:tcW w:w="270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E3106" w:rsidP="00EE310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2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667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E3106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2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заочная</w:t>
            </w:r>
          </w:p>
        </w:tc>
      </w:tr>
      <w:tr w:rsidR="00EE3106" w:rsidRPr="00EE3106" w:rsidTr="004106F8">
        <w:trPr>
          <w:trHeight w:hRule="exact" w:val="277"/>
        </w:trPr>
        <w:tc>
          <w:tcPr>
            <w:tcW w:w="852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6" w:type="dxa"/>
            <w:gridSpan w:val="2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7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6B176A">
        <w:trPr>
          <w:trHeight w:hRule="exact" w:val="555"/>
        </w:trPr>
        <w:tc>
          <w:tcPr>
            <w:tcW w:w="270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E3106" w:rsidP="00EE310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2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набора</w:t>
            </w:r>
          </w:p>
        </w:tc>
        <w:tc>
          <w:tcPr>
            <w:tcW w:w="66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3106" w:rsidRPr="00E25764" w:rsidRDefault="00E25764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EE3106" w:rsidRPr="00EE3106" w:rsidTr="004106F8">
        <w:trPr>
          <w:trHeight w:hRule="exact" w:val="4834"/>
        </w:trPr>
        <w:tc>
          <w:tcPr>
            <w:tcW w:w="852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6" w:type="dxa"/>
            <w:gridSpan w:val="2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1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6" w:type="dxa"/>
          </w:tcPr>
          <w:p w:rsidR="00EE3106" w:rsidRPr="00E25764" w:rsidRDefault="00EE3106" w:rsidP="00EE3106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E3106" w:rsidRPr="00EE3106" w:rsidTr="004106F8">
        <w:trPr>
          <w:trHeight w:hRule="exact" w:val="277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106" w:rsidRPr="00E25764" w:rsidRDefault="00E25764" w:rsidP="00EE3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 2024</w:t>
            </w:r>
          </w:p>
        </w:tc>
      </w:tr>
    </w:tbl>
    <w:p w:rsidR="00EE3106" w:rsidRPr="00E25764" w:rsidRDefault="00EE3106" w:rsidP="00EE3106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E25764">
        <w:rPr>
          <w:rFonts w:ascii="Calibri" w:eastAsia="Times New Roman" w:hAnsi="Calibri" w:cs="Times New Roman"/>
        </w:rPr>
        <w:br w:type="page"/>
      </w:r>
    </w:p>
    <w:p w:rsidR="00EE3106" w:rsidRPr="00EE3106" w:rsidRDefault="00EE3106" w:rsidP="00EE310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310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EE3106" w:rsidRPr="00EE3106" w:rsidRDefault="00EE3106" w:rsidP="00EE31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106" w:rsidRPr="00EE3106" w:rsidRDefault="00EE3106" w:rsidP="00E257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06">
        <w:rPr>
          <w:rFonts w:ascii="Times New Roman" w:hAnsi="Times New Roman" w:cs="Times New Roman"/>
          <w:sz w:val="28"/>
          <w:szCs w:val="28"/>
        </w:rPr>
        <w:t>Рабочей программой дисциплины предусмотрено написание контрольной работы для студентов заочной формы обучения. Контрольная работа является формой закрепления и контроля теоретических знаний и практических навыков, полученных студентом во время изучения данной дисциплины. Она выполняется по окончании лекционных и практических занятий в сроки, предусмотренные учебным планом. Цель контрольной работы - изучение ключевых вопросов программы и привитие навыков самостоятельного изучения учебного материала. Поэтому наивысшую оценку будут иметь работы, составленные в результате самостоятельной творческой деятельности студента. Контрольная работа должна показать умение студента кратко и точно отвечать на поставленные в теме вопросы, находить, систематизировать и использовать необходимый материал. Для написания контрольной работы следует использовать не только литературные источники, но и личные наблюдения, производственный опыт, консультации опытных специали</w:t>
      </w:r>
      <w:r w:rsidR="00E25764">
        <w:rPr>
          <w:rFonts w:ascii="Times New Roman" w:hAnsi="Times New Roman" w:cs="Times New Roman"/>
          <w:sz w:val="28"/>
          <w:szCs w:val="28"/>
        </w:rPr>
        <w:t>стов в сервисной деятельности</w:t>
      </w:r>
      <w:r w:rsidRPr="00EE3106">
        <w:rPr>
          <w:rFonts w:ascii="Times New Roman" w:hAnsi="Times New Roman" w:cs="Times New Roman"/>
          <w:sz w:val="28"/>
          <w:szCs w:val="28"/>
        </w:rPr>
        <w:t>. Основными задачами выполнен</w:t>
      </w:r>
      <w:r w:rsidR="00E25764">
        <w:rPr>
          <w:rFonts w:ascii="Times New Roman" w:hAnsi="Times New Roman" w:cs="Times New Roman"/>
          <w:sz w:val="28"/>
          <w:szCs w:val="28"/>
        </w:rPr>
        <w:t xml:space="preserve">ия контрольной работы являются: </w:t>
      </w:r>
      <w:r w:rsidR="00E25764" w:rsidRPr="00E25764">
        <w:rPr>
          <w:rFonts w:ascii="Times New Roman" w:hAnsi="Times New Roman" w:cs="Times New Roman"/>
          <w:sz w:val="28"/>
          <w:szCs w:val="28"/>
        </w:rPr>
        <w:t>- формирование у обучающихся теоретических и практических навыков в области формирования и развития цифровой экономики и управления ее структурными компонентами на базе применения современ</w:t>
      </w:r>
      <w:r w:rsidR="00E25764">
        <w:rPr>
          <w:rFonts w:ascii="Times New Roman" w:hAnsi="Times New Roman" w:cs="Times New Roman"/>
          <w:sz w:val="28"/>
          <w:szCs w:val="28"/>
        </w:rPr>
        <w:t xml:space="preserve">ных информационных технологий и </w:t>
      </w:r>
      <w:r w:rsidR="00E25764" w:rsidRPr="00E25764">
        <w:rPr>
          <w:rFonts w:ascii="Times New Roman" w:hAnsi="Times New Roman" w:cs="Times New Roman"/>
          <w:sz w:val="28"/>
          <w:szCs w:val="28"/>
        </w:rPr>
        <w:t>адекватного использования инфо</w:t>
      </w:r>
      <w:r w:rsidR="00E25764">
        <w:rPr>
          <w:rFonts w:ascii="Times New Roman" w:hAnsi="Times New Roman" w:cs="Times New Roman"/>
          <w:sz w:val="28"/>
          <w:szCs w:val="28"/>
        </w:rPr>
        <w:t xml:space="preserve">рмационных ресурсов и факторов; </w:t>
      </w:r>
      <w:r w:rsidR="00E25764" w:rsidRPr="00E25764">
        <w:rPr>
          <w:rFonts w:ascii="Times New Roman" w:hAnsi="Times New Roman" w:cs="Times New Roman"/>
          <w:sz w:val="28"/>
          <w:szCs w:val="28"/>
        </w:rPr>
        <w:t>- изучение современных</w:t>
      </w:r>
      <w:r w:rsidR="00E25764">
        <w:rPr>
          <w:rFonts w:ascii="Times New Roman" w:hAnsi="Times New Roman" w:cs="Times New Roman"/>
          <w:sz w:val="28"/>
          <w:szCs w:val="28"/>
        </w:rPr>
        <w:t xml:space="preserve"> технологий цифровой экономики; </w:t>
      </w:r>
      <w:r w:rsidR="00E25764" w:rsidRPr="00E25764">
        <w:rPr>
          <w:rFonts w:ascii="Times New Roman" w:hAnsi="Times New Roman" w:cs="Times New Roman"/>
          <w:sz w:val="28"/>
          <w:szCs w:val="28"/>
        </w:rPr>
        <w:t>- развитие способности учитывать институциональные, инфраструктурные аспекты цифровой экономики и вопросы информационной безопасности в сфере своей</w:t>
      </w:r>
      <w:r w:rsidR="00E2576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 </w:t>
      </w:r>
      <w:r w:rsidR="00E25764" w:rsidRPr="00E25764">
        <w:rPr>
          <w:rFonts w:ascii="Times New Roman" w:hAnsi="Times New Roman" w:cs="Times New Roman"/>
          <w:sz w:val="28"/>
          <w:szCs w:val="28"/>
        </w:rPr>
        <w:t>- развитие умения применять модельно-аналитические и информационно</w:t>
      </w:r>
      <w:r w:rsidR="00E25764">
        <w:rPr>
          <w:rFonts w:ascii="Times New Roman" w:hAnsi="Times New Roman" w:cs="Times New Roman"/>
          <w:sz w:val="28"/>
          <w:szCs w:val="28"/>
        </w:rPr>
        <w:t>-</w:t>
      </w:r>
      <w:r w:rsidR="00E25764" w:rsidRPr="00E25764">
        <w:rPr>
          <w:rFonts w:ascii="Times New Roman" w:hAnsi="Times New Roman" w:cs="Times New Roman"/>
          <w:sz w:val="28"/>
          <w:szCs w:val="28"/>
        </w:rPr>
        <w:t>коммуникационные технологии поддержки принятия решений в социально</w:t>
      </w:r>
      <w:r w:rsidR="00E25764">
        <w:rPr>
          <w:rFonts w:ascii="Times New Roman" w:hAnsi="Times New Roman" w:cs="Times New Roman"/>
          <w:sz w:val="28"/>
          <w:szCs w:val="28"/>
        </w:rPr>
        <w:t>-</w:t>
      </w:r>
      <w:r w:rsidR="00E25764" w:rsidRPr="00E25764">
        <w:rPr>
          <w:rFonts w:ascii="Times New Roman" w:hAnsi="Times New Roman" w:cs="Times New Roman"/>
          <w:sz w:val="28"/>
          <w:szCs w:val="28"/>
        </w:rPr>
        <w:t>экономических системах в условиях цифровой экономики.</w:t>
      </w:r>
    </w:p>
    <w:p w:rsidR="00EE3106" w:rsidRDefault="00EE3106" w:rsidP="00EE3106"/>
    <w:p w:rsidR="00EE3106" w:rsidRPr="006B176A" w:rsidRDefault="00EE3106" w:rsidP="00E257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6A" w:rsidRPr="006B176A" w:rsidRDefault="006B176A" w:rsidP="006B176A">
      <w:pPr>
        <w:pStyle w:val="1"/>
        <w:keepNext w:val="0"/>
        <w:keepLines w:val="0"/>
        <w:widowControl w:val="0"/>
        <w:spacing w:line="240" w:lineRule="auto"/>
        <w:ind w:left="0" w:right="0" w:firstLine="709"/>
        <w:jc w:val="both"/>
        <w:rPr>
          <w:sz w:val="28"/>
          <w:szCs w:val="28"/>
          <w:lang w:val="ru-RU"/>
        </w:rPr>
      </w:pPr>
      <w:bookmarkStart w:id="0" w:name="_Toc27541"/>
      <w:r w:rsidRPr="006B176A">
        <w:rPr>
          <w:sz w:val="28"/>
          <w:szCs w:val="28"/>
          <w:lang w:val="ru-RU"/>
        </w:rPr>
        <w:t xml:space="preserve">Требования к содержанию и оформлению контрольной работы </w:t>
      </w:r>
      <w:bookmarkEnd w:id="0"/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контрольной работы: 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-творческий, самостоятельный подход к изложению материала, умение выразить свое мнение по исследуемому вопросу;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-недопустимость механического переписывания материала учебника или лекций;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-подтверждение теоретических выводов практическим или статистическим материалом;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-цитирование первоисточников с ссылками на номер работы, указанный в списке используемой литературы, и страницу: наличие иллюстраций и таблиц; </w:t>
      </w:r>
    </w:p>
    <w:p w:rsidR="006B176A" w:rsidRPr="006B176A" w:rsidRDefault="006B176A" w:rsidP="006B17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b/>
          <w:sz w:val="28"/>
          <w:szCs w:val="28"/>
        </w:rPr>
        <w:t>Требования к оформлению контрольной работы</w:t>
      </w:r>
      <w:r w:rsidRPr="006B176A">
        <w:rPr>
          <w:rFonts w:ascii="Times New Roman" w:hAnsi="Times New Roman" w:cs="Times New Roman"/>
          <w:sz w:val="28"/>
          <w:szCs w:val="28"/>
        </w:rPr>
        <w:t xml:space="preserve"> – объем работы 20-24 страницы рукописного текста (ученическая тетрадь) или 10-15 страниц печатного текста стандартного формата А4; на страницах работы необходимо оставлять поля для замеч</w:t>
      </w:r>
      <w:r w:rsidR="00E25764">
        <w:rPr>
          <w:rFonts w:ascii="Times New Roman" w:hAnsi="Times New Roman" w:cs="Times New Roman"/>
          <w:sz w:val="28"/>
          <w:szCs w:val="28"/>
        </w:rPr>
        <w:t>аний преподавателя-рецензента;</w:t>
      </w:r>
    </w:p>
    <w:p w:rsidR="006B176A" w:rsidRPr="006B176A" w:rsidRDefault="006B176A" w:rsidP="006B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-рукописный текст должен быть написан разборчивым почерком, без помарок: небрежность в изложении и оформлении не допускается;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 страницы работы нумеруются, является первой страницей контрольной работы (номер страницы на титульном листе не проставляется); на 2-ой странице дается план (содержание) работы: далее следуют наименования теоретических вопросов или практических заданий и ответы на них: все иллюстрации и таблицы должны быть пронумерованы, каждую иллюстрацию необходимо снабжать подрисуночной надписью, таблицы с заголовками должны быть помещены в тексте после абзацев, содержащих ссылки на них;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-тексты цитат заключаются в кавычки и сопровождаются сноской;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-в конце контрольной работы приводится список использованной литературы и иных источников информации в алфавитном порядке. 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6A" w:rsidRPr="006B176A" w:rsidRDefault="006B176A" w:rsidP="008B4537">
      <w:pPr>
        <w:pStyle w:val="1"/>
        <w:keepNext w:val="0"/>
        <w:keepLines w:val="0"/>
        <w:widowControl w:val="0"/>
        <w:spacing w:line="240" w:lineRule="auto"/>
        <w:ind w:left="0" w:right="0" w:firstLine="709"/>
        <w:jc w:val="both"/>
        <w:rPr>
          <w:sz w:val="28"/>
          <w:szCs w:val="28"/>
        </w:rPr>
      </w:pPr>
      <w:bookmarkStart w:id="1" w:name="_Toc27542"/>
      <w:proofErr w:type="spellStart"/>
      <w:r w:rsidRPr="006B176A">
        <w:rPr>
          <w:sz w:val="28"/>
          <w:szCs w:val="28"/>
        </w:rPr>
        <w:t>Указания</w:t>
      </w:r>
      <w:proofErr w:type="spellEnd"/>
      <w:r w:rsidRPr="006B176A">
        <w:rPr>
          <w:sz w:val="28"/>
          <w:szCs w:val="28"/>
        </w:rPr>
        <w:t xml:space="preserve"> </w:t>
      </w:r>
      <w:proofErr w:type="spellStart"/>
      <w:r w:rsidRPr="006B176A">
        <w:rPr>
          <w:sz w:val="28"/>
          <w:szCs w:val="28"/>
        </w:rPr>
        <w:t>по</w:t>
      </w:r>
      <w:proofErr w:type="spellEnd"/>
      <w:r w:rsidRPr="006B176A">
        <w:rPr>
          <w:sz w:val="28"/>
          <w:szCs w:val="28"/>
        </w:rPr>
        <w:t xml:space="preserve"> </w:t>
      </w:r>
      <w:proofErr w:type="spellStart"/>
      <w:r w:rsidRPr="006B176A">
        <w:rPr>
          <w:sz w:val="28"/>
          <w:szCs w:val="28"/>
        </w:rPr>
        <w:t>выполнению</w:t>
      </w:r>
      <w:proofErr w:type="spellEnd"/>
      <w:r w:rsidRPr="006B176A">
        <w:rPr>
          <w:sz w:val="28"/>
          <w:szCs w:val="28"/>
        </w:rPr>
        <w:t xml:space="preserve"> </w:t>
      </w:r>
      <w:proofErr w:type="spellStart"/>
      <w:r w:rsidRPr="006B176A">
        <w:rPr>
          <w:sz w:val="28"/>
          <w:szCs w:val="28"/>
        </w:rPr>
        <w:t>контрольной</w:t>
      </w:r>
      <w:proofErr w:type="spellEnd"/>
      <w:r w:rsidRPr="006B176A">
        <w:rPr>
          <w:sz w:val="28"/>
          <w:szCs w:val="28"/>
        </w:rPr>
        <w:t xml:space="preserve"> </w:t>
      </w:r>
      <w:proofErr w:type="spellStart"/>
      <w:r w:rsidRPr="006B176A">
        <w:rPr>
          <w:sz w:val="28"/>
          <w:szCs w:val="28"/>
        </w:rPr>
        <w:t>работы</w:t>
      </w:r>
      <w:proofErr w:type="spellEnd"/>
      <w:r w:rsidRPr="006B176A">
        <w:rPr>
          <w:sz w:val="28"/>
          <w:szCs w:val="28"/>
        </w:rPr>
        <w:t xml:space="preserve"> </w:t>
      </w:r>
      <w:bookmarkEnd w:id="1"/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В данном разделе определяется порядок самостоятельной работы студента над теоретическими вопросами и практическими заданиями: </w:t>
      </w:r>
    </w:p>
    <w:p w:rsidR="006B176A" w:rsidRPr="006B176A" w:rsidRDefault="006B176A" w:rsidP="008B453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их изучения делаются выписки цитат, составляются иллюстрации и таблицы. </w:t>
      </w:r>
    </w:p>
    <w:p w:rsidR="006B176A" w:rsidRPr="006B176A" w:rsidRDefault="006B176A" w:rsidP="008B453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Ответы на теоретические вопросы должны отражать необходимую и достаточную компетенцию студента, содержать краткие и четкие формулировки, убедительную аргументацию, доказательность и </w:t>
      </w:r>
      <w:r w:rsidRPr="006B176A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обоснованность выводов, быть логически выстроены. </w:t>
      </w:r>
    </w:p>
    <w:p w:rsidR="006B176A" w:rsidRPr="006B176A" w:rsidRDefault="006B176A" w:rsidP="008B453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Решения практических заданий должны сопровождаться краткими, но исчерпывающими пояснениями (аргументами). </w:t>
      </w:r>
    </w:p>
    <w:p w:rsidR="006B176A" w:rsidRPr="006B176A" w:rsidRDefault="006B176A" w:rsidP="008B453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Контрольная работа должна быть представлена в деканат факультета не позднее, чем за 20 дней до начала экзаменационной сессии.  Контрольная работа, выполненная без соблюдения требований или не полностью, не зачитывается и возвращается студенту на доработку. В случае если контрольная работа выполнена не по своему варианту, она преподавателем не зачитывается и возвращается студенту для ее выполнения в соответствии с вариантом, указанным в таблице. </w:t>
      </w:r>
    </w:p>
    <w:p w:rsidR="006B176A" w:rsidRP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6A">
        <w:rPr>
          <w:rFonts w:ascii="Times New Roman" w:hAnsi="Times New Roman" w:cs="Times New Roman"/>
          <w:sz w:val="28"/>
          <w:szCs w:val="28"/>
        </w:rPr>
        <w:t xml:space="preserve">До начала сессии студент получает проверенную преподавателем контрольную работу с исправлениями в тексте и замечаниями на полях, по результатам проверки выставляется оценка «зачтено» или «не зачтено». Оценка «зачтено» является допуском к экзамену или зачету по соответствующей учебной дисциплине. Работа с оценкой «не зачтено» должна быть доработана и представлена на повторное рецензирование. </w:t>
      </w:r>
    </w:p>
    <w:p w:rsidR="006B176A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Контрольная работа, выполненная не по своему варианту, на рецензирование не принимается. </w:t>
      </w:r>
    </w:p>
    <w:p w:rsidR="008B4537" w:rsidRPr="006B176A" w:rsidRDefault="008B4537" w:rsidP="008B4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537" w:rsidRPr="008B4537" w:rsidRDefault="006B176A" w:rsidP="008B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Таблица</w:t>
      </w:r>
      <w:proofErr w:type="spellEnd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 – </w:t>
      </w:r>
      <w:proofErr w:type="spellStart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Варианты</w:t>
      </w:r>
      <w:proofErr w:type="spellEnd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контрольной</w:t>
      </w:r>
      <w:proofErr w:type="spellEnd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работы</w:t>
      </w:r>
      <w:proofErr w:type="spellEnd"/>
      <w:r w:rsidRPr="006B1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tbl>
      <w:tblPr>
        <w:tblW w:w="9573" w:type="dxa"/>
        <w:tblInd w:w="-2" w:type="dxa"/>
        <w:tblCellMar>
          <w:top w:w="7" w:type="dxa"/>
          <w:left w:w="106" w:type="dxa"/>
          <w:right w:w="43" w:type="dxa"/>
        </w:tblCellMar>
        <w:tblLook w:val="04A0"/>
      </w:tblPr>
      <w:tblGrid>
        <w:gridCol w:w="864"/>
        <w:gridCol w:w="871"/>
        <w:gridCol w:w="869"/>
        <w:gridCol w:w="871"/>
        <w:gridCol w:w="869"/>
        <w:gridCol w:w="872"/>
        <w:gridCol w:w="871"/>
        <w:gridCol w:w="871"/>
        <w:gridCol w:w="872"/>
        <w:gridCol w:w="871"/>
        <w:gridCol w:w="872"/>
      </w:tblGrid>
      <w:tr w:rsidR="006B176A" w:rsidRPr="006B176A" w:rsidTr="006B176A">
        <w:trPr>
          <w:trHeight w:val="286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А/Б </w:t>
            </w:r>
          </w:p>
        </w:tc>
        <w:tc>
          <w:tcPr>
            <w:tcW w:w="8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Последняя</w:t>
            </w:r>
            <w:proofErr w:type="spellEnd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цифра</w:t>
            </w:r>
            <w:proofErr w:type="spellEnd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шифра</w:t>
            </w:r>
            <w:proofErr w:type="spellEnd"/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B176A" w:rsidRPr="006B176A" w:rsidTr="008B453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38, 45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36, 42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36, 50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21, 34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39, 50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40, 43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39, 46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25, 40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32, 43 </w:t>
            </w:r>
          </w:p>
        </w:tc>
      </w:tr>
      <w:tr w:rsidR="006B176A" w:rsidRPr="006B176A" w:rsidTr="008B4537">
        <w:trPr>
          <w:trHeight w:val="11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33, 41 </w:t>
            </w:r>
          </w:p>
        </w:tc>
      </w:tr>
      <w:tr w:rsidR="006B176A" w:rsidRPr="006B176A" w:rsidTr="008B4537">
        <w:trPr>
          <w:trHeight w:val="83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39, 50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38, 44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32, 50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34, 48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35, 49 </w:t>
            </w:r>
          </w:p>
        </w:tc>
      </w:tr>
      <w:tr w:rsidR="006B176A" w:rsidRPr="006B176A" w:rsidTr="008B4537">
        <w:trPr>
          <w:trHeight w:val="111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6A" w:rsidRPr="006B176A" w:rsidRDefault="006B176A" w:rsidP="006B17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1, 11,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39, 44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2, 12,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31, 45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3, 13,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40, 46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4, 14,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32, 41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5, 15,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33, 49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6, 16,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34, 50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7, 17,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35, 42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8, 18,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36, 43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9, 19,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37, 48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38, </w:t>
            </w:r>
          </w:p>
          <w:p w:rsidR="006B176A" w:rsidRPr="006B176A" w:rsidRDefault="006B176A" w:rsidP="006B1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29, 47 </w:t>
            </w:r>
          </w:p>
        </w:tc>
      </w:tr>
    </w:tbl>
    <w:p w:rsidR="006B176A" w:rsidRPr="006B176A" w:rsidRDefault="006B176A" w:rsidP="006B176A">
      <w:pPr>
        <w:spacing w:after="30"/>
        <w:ind w:left="814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B176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6B176A" w:rsidRPr="008B4537" w:rsidRDefault="006B176A" w:rsidP="00FA6BC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27544"/>
      <w:r w:rsidRPr="008B4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Наполнение вариантов контрольной работы вопросами согласно задания</w:t>
      </w:r>
      <w:bookmarkEnd w:id="2"/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1. Движущие силы и этапы цифровой трансформации общества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2. Характеристика четвертой промышленной революции и шестого экономического уклада. Проблемы перехода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3. Связь цифровых технологий и инноваций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4. Понимание экономического блага в цифровой экономике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5. Мобильный интернет, имплантируемые технологии и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цифровидение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: факторы дальнейшего развития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6. Распределенные вычисления и хранилище данных (облачное хранение) </w:t>
      </w:r>
    </w:p>
    <w:p w:rsidR="00E2576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7. Проблема создания и размещения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data-центров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8. Интернет вещей, умный дом и умные города: сущность идей и перспективы развития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9. Роль искусственного интеллекта в обработке больших данных и принятии экономических решений. Понятие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10. Сферы применения робототехника и 3-D печати. Потенциал использования роботов в быту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11. Инновационные модели экономического роста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12. Понятие цифрового производства. Основные технологии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13. Понятие промышленного интернета. Направления его развития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14. Возможности использования технологий виртуальной реальности в информационных системах экономики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15. Понятие сквозных технологий и их роль в развитии рыночной экономики будущего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16. Факторы роста спроса на большие данные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17. Мировые тенденции развития технологий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18. Факторы, способствующие и сдерживающие развитие технологий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: что сильнее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19. Цели и методы обработки больших данных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20. Современные автоматизированные информационные системы в </w:t>
      </w:r>
      <w:r w:rsidRPr="00E25764">
        <w:rPr>
          <w:rFonts w:ascii="Times New Roman" w:hAnsi="Times New Roman" w:cs="Times New Roman"/>
          <w:sz w:val="28"/>
          <w:szCs w:val="28"/>
        </w:rPr>
        <w:lastRenderedPageBreak/>
        <w:t>банковском деле (бирже, бюджетных организ</w:t>
      </w:r>
      <w:r w:rsidR="003131D4">
        <w:rPr>
          <w:rFonts w:ascii="Times New Roman" w:hAnsi="Times New Roman" w:cs="Times New Roman"/>
          <w:sz w:val="28"/>
          <w:szCs w:val="28"/>
        </w:rPr>
        <w:t>ациях и других сферах на выбор)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21. Механизм, масштабы и структура электронной торговли в России (мире)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>: специфика, проблемы</w:t>
      </w:r>
      <w:r w:rsidR="003131D4">
        <w:rPr>
          <w:rFonts w:ascii="Times New Roman" w:hAnsi="Times New Roman" w:cs="Times New Roman"/>
          <w:sz w:val="28"/>
          <w:szCs w:val="28"/>
        </w:rPr>
        <w:t xml:space="preserve"> и перспективы использования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23. Механизм сокращения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издержек в результате использования цифровых технологий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24. Динамика затрат российских предприятий на ИКТ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25. Материальные и нематериальные активы предприятия: особенности использования и учета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26. Цифровые технологии в теории производственных возможностей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27. Модели спецификации производственной функции в условиях цифровой экономики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>28. Взаимозаменяемость труда и капит</w:t>
      </w:r>
      <w:r w:rsidR="003131D4">
        <w:rPr>
          <w:rFonts w:ascii="Times New Roman" w:hAnsi="Times New Roman" w:cs="Times New Roman"/>
          <w:sz w:val="28"/>
          <w:szCs w:val="28"/>
        </w:rPr>
        <w:t>ала в эпоху цифровых технологий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29. Социальные эффекты в формировании спроса на высокотехнологичные товары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30. Компания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: факторы продвижения и успеха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31. Современные трактовки понятия человеческого капитала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32. Человеческий капитал в системе воспроизводства высокотехнологичных предприятий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33. Методы измерения уровня развития человеческого капитала на предприятиях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34. Специфические черты человеческого капитала в эпоху цифровой экономики: кто создает новые технологии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35. Методы расчета индекса человеческого развития. Связь с индексом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>36. Профессии будущего: го</w:t>
      </w:r>
      <w:r w:rsidR="003131D4">
        <w:rPr>
          <w:rFonts w:ascii="Times New Roman" w:hAnsi="Times New Roman" w:cs="Times New Roman"/>
          <w:sz w:val="28"/>
          <w:szCs w:val="28"/>
        </w:rPr>
        <w:t>ризонт 2030-2050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37. Место человека (работника) в информационной системе общества (предприятия): реально ли цифровое рабство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38. Рынок труда в цифровой экономике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39. Особенности мотивации персонала в IT-секторе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40. Цифровые методы и технологии управления человеческими ресурсами в организации (на выбор)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41. Будущее образования в цифровой экономике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42. Нормативные акты по регулированию цифровой экономике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43. Структура, положения, этапы национальной программы «Цифровая экономика Российской Федерации»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>44. Направления разработки ГОСТ Р «Цифровая экономика. Общие положения». Направления деятельности Технического комитета 194 «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Киберфизические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системы»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45. Стандарты и стандартизация в цифровой экономике </w:t>
      </w:r>
    </w:p>
    <w:p w:rsidR="003131D4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t xml:space="preserve">46. Цифровая экономика в России (США, Китае или другой стране на выбор) </w:t>
      </w:r>
    </w:p>
    <w:p w:rsidR="006B176A" w:rsidRDefault="00E25764" w:rsidP="00FA6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764">
        <w:rPr>
          <w:rFonts w:ascii="Times New Roman" w:hAnsi="Times New Roman" w:cs="Times New Roman"/>
          <w:sz w:val="28"/>
          <w:szCs w:val="28"/>
        </w:rPr>
        <w:lastRenderedPageBreak/>
        <w:t xml:space="preserve">47. Фундаментальные факторы развития компании </w:t>
      </w:r>
      <w:proofErr w:type="spellStart"/>
      <w:r w:rsidRPr="00E2576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25764">
        <w:rPr>
          <w:rFonts w:ascii="Times New Roman" w:hAnsi="Times New Roman" w:cs="Times New Roman"/>
          <w:sz w:val="28"/>
          <w:szCs w:val="28"/>
        </w:rPr>
        <w:t xml:space="preserve"> (другой высокотехнологичной компании на выбор)</w:t>
      </w:r>
    </w:p>
    <w:p w:rsidR="003131D4" w:rsidRPr="003131D4" w:rsidRDefault="003131D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48. </w:t>
      </w:r>
      <w:r w:rsidRPr="003131D4">
        <w:rPr>
          <w:rFonts w:ascii="Times New Roman" w:hAnsi="Times New Roman" w:cs="Times New Roman"/>
          <w:color w:val="000000"/>
          <w:sz w:val="28"/>
          <w:szCs w:val="28"/>
        </w:rPr>
        <w:t>Переход к цифровым сервисам: сущность, условия, факторы</w:t>
      </w:r>
    </w:p>
    <w:p w:rsidR="003131D4" w:rsidRPr="003131D4" w:rsidRDefault="003131D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1D4">
        <w:rPr>
          <w:rFonts w:ascii="Times New Roman" w:hAnsi="Times New Roman" w:cs="Times New Roman"/>
          <w:color w:val="000000"/>
          <w:sz w:val="28"/>
          <w:szCs w:val="28"/>
        </w:rPr>
        <w:t>49. Влияние цифровых сервисов на развитие социально-экономических систем</w:t>
      </w:r>
    </w:p>
    <w:p w:rsidR="003131D4" w:rsidRDefault="003131D4" w:rsidP="00FA6B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1D4">
        <w:rPr>
          <w:rFonts w:ascii="Times New Roman" w:hAnsi="Times New Roman" w:cs="Times New Roman"/>
          <w:color w:val="000000"/>
          <w:sz w:val="28"/>
          <w:szCs w:val="28"/>
        </w:rPr>
        <w:t xml:space="preserve">50. Региональные и отраслевые цифровые сервисы в условиях </w:t>
      </w:r>
      <w:proofErr w:type="spellStart"/>
      <w:r w:rsidRPr="003131D4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3131D4">
        <w:rPr>
          <w:rFonts w:ascii="Times New Roman" w:hAnsi="Times New Roman" w:cs="Times New Roman"/>
          <w:color w:val="000000"/>
          <w:sz w:val="28"/>
          <w:szCs w:val="28"/>
        </w:rPr>
        <w:t>: трансформация и развитие</w:t>
      </w:r>
    </w:p>
    <w:p w:rsidR="003131D4" w:rsidRDefault="003131D4" w:rsidP="00FA6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BC8" w:rsidRPr="003131D4" w:rsidRDefault="00FA6BC8" w:rsidP="00FA6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6B176A" w:rsidRPr="004106F8" w:rsidRDefault="006B176A" w:rsidP="00FA6BC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27545"/>
      <w:r w:rsidRPr="00410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оценки контрольной работы </w:t>
      </w:r>
      <w:bookmarkEnd w:id="4"/>
    </w:p>
    <w:p w:rsidR="003131D4" w:rsidRPr="004106F8" w:rsidRDefault="003131D4" w:rsidP="00FA6BC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176A" w:rsidRPr="008B4537" w:rsidRDefault="006B176A" w:rsidP="00FA6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«Зачтено»</w:t>
      </w:r>
      <w:r w:rsidRPr="008B4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выставляется, если бакалавр правильно, глубоко и обоснованно провёл исследование, достаточно полно и логично изложил материал, проявил самостоятельность при написании, проанализировал конкретную информацию, правильно оформил контрольную работу, соблюдая предъявленные к ней требования. </w:t>
      </w:r>
    </w:p>
    <w:p w:rsidR="006B176A" w:rsidRPr="008B4537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«Не зачтено» </w:t>
      </w:r>
      <w:r w:rsidRPr="008B4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выставляется бакалавру, который допустил грубые теоретические ошибки и поверхностно осветил основные положения вопросов, вместо теоретического освещения вопросов в работе, сделал описание конкретных примеров и фактов из хорошо известных источников, работа является плагиатом.  </w:t>
      </w:r>
    </w:p>
    <w:p w:rsidR="006B176A" w:rsidRPr="008B4537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защите не допускается контрольная работа, выполненная студентом не самостоятельно, а также полностью не соответствующая требованиям, предъявляемым к содержанию, изложению и оформлению контрольных работ. </w:t>
      </w:r>
    </w:p>
    <w:p w:rsidR="006B176A" w:rsidRPr="008B4537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допуска к собеседованию студенту следует подготовить ответы на замечания и вопросы рецензента, написанные в контрольной работе, при необходимости – выполнить письменное дополнение к ней. Работы, не допущенные преподавателем, выполняются повторно с устранением всех отмеченных недостатков и предоставляются на проверку вместе с первой контрольной работой. </w:t>
      </w:r>
    </w:p>
    <w:p w:rsidR="006B176A" w:rsidRPr="008B4537" w:rsidRDefault="006B176A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6A" w:rsidRPr="00FA6BC8" w:rsidRDefault="00EE3106" w:rsidP="008B453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C8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6B176A" w:rsidRPr="00FA6BC8" w:rsidRDefault="00EE3106" w:rsidP="008B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8">
        <w:rPr>
          <w:rFonts w:ascii="Times New Roman" w:hAnsi="Times New Roman" w:cs="Times New Roman"/>
          <w:sz w:val="28"/>
          <w:szCs w:val="28"/>
        </w:rPr>
        <w:t xml:space="preserve">1. </w:t>
      </w:r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Маркова, В. Д. Институт экономики и организации промышленного производства Сибирского отделения Российской академии наук. Цифровая экономика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учебник / В.Д. Маркова ; Институт экономики и организации промышленного производства Сибирского отделения Российской академии наук. - 1. - Москва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ООО "Научно-издательский центр ИНФРА-М", 2020. - 186 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B176A" w:rsidRPr="00FA6BC8" w:rsidRDefault="00EE3106" w:rsidP="008B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Лапидус</w:t>
      </w:r>
      <w:proofErr w:type="spell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Л. В. Московский государственный университет им. М.В. Ломоносова, экономический факультет. Цифровая экономика: Управление электронным бизнесом и электронной коммерцией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учебник / Л.В. </w:t>
      </w:r>
      <w:proofErr w:type="spell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Лапидус</w:t>
      </w:r>
      <w:proofErr w:type="spell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Московский государственный университет им. М.В. Ломоносова, экономический факультет. - 1. - Москва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ООО "Научно-издательский центр ИНФРА-М", 2020. - 479 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B176A" w:rsidRPr="00FA6BC8" w:rsidRDefault="00EE3106" w:rsidP="008B4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C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EE3106" w:rsidRPr="00FA6BC8" w:rsidRDefault="00EE3106" w:rsidP="0031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A6B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Китова</w:t>
      </w:r>
      <w:proofErr w:type="spell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Ольга Викторовна. Цифровой бизнес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Учебник / Российский экономический университет им. Г.В. Плеханова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Российский экономический университет им. Г.В. Плеханова. - 1. - Москва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ООО "Научно-издательский центр ИНФРА-М", 2024. - 418 </w:t>
      </w:r>
      <w:proofErr w:type="gramStart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3131D4"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131D4" w:rsidRPr="00FA6BC8" w:rsidRDefault="003131D4" w:rsidP="00313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proofErr w:type="spellStart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Клейносова</w:t>
      </w:r>
      <w:proofErr w:type="spellEnd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Н. П. Цифровые инструменты и сервисы в профессиональной деятельности</w:t>
      </w:r>
      <w:proofErr w:type="gramStart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Клейносова</w:t>
      </w:r>
      <w:proofErr w:type="spellEnd"/>
      <w:r w:rsidRPr="00FA6B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 П. - Рязань : РГРТУ, 2023. - 82 с. </w:t>
      </w:r>
    </w:p>
    <w:p w:rsidR="003131D4" w:rsidRPr="003131D4" w:rsidRDefault="003131D4" w:rsidP="003131D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3131D4" w:rsidRPr="003131D4" w:rsidSect="0026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A21"/>
    <w:multiLevelType w:val="hybridMultilevel"/>
    <w:tmpl w:val="2A963F84"/>
    <w:lvl w:ilvl="0" w:tplc="08586750">
      <w:start w:val="1"/>
      <w:numFmt w:val="decimal"/>
      <w:pStyle w:val="1"/>
      <w:lvlText w:val="%1"/>
      <w:lvlJc w:val="left"/>
      <w:pPr>
        <w:ind w:left="2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27F22">
      <w:start w:val="1"/>
      <w:numFmt w:val="lowerLetter"/>
      <w:lvlText w:val="%2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AB32">
      <w:start w:val="1"/>
      <w:numFmt w:val="lowerRoman"/>
      <w:lvlText w:val="%3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E961C">
      <w:start w:val="1"/>
      <w:numFmt w:val="decimal"/>
      <w:lvlText w:val="%4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AE5FE">
      <w:start w:val="1"/>
      <w:numFmt w:val="lowerLetter"/>
      <w:lvlText w:val="%5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E615E">
      <w:start w:val="1"/>
      <w:numFmt w:val="lowerRoman"/>
      <w:lvlText w:val="%6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89AF8">
      <w:start w:val="1"/>
      <w:numFmt w:val="decimal"/>
      <w:lvlText w:val="%7"/>
      <w:lvlJc w:val="left"/>
      <w:pPr>
        <w:ind w:left="6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F4B6">
      <w:start w:val="1"/>
      <w:numFmt w:val="lowerLetter"/>
      <w:lvlText w:val="%8"/>
      <w:lvlJc w:val="left"/>
      <w:pPr>
        <w:ind w:left="7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8DE8">
      <w:start w:val="1"/>
      <w:numFmt w:val="lowerRoman"/>
      <w:lvlText w:val="%9"/>
      <w:lvlJc w:val="left"/>
      <w:pPr>
        <w:ind w:left="8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7A394C"/>
    <w:multiLevelType w:val="hybridMultilevel"/>
    <w:tmpl w:val="CFDEEF08"/>
    <w:lvl w:ilvl="0" w:tplc="8D80E9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97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056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0BA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A04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23A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42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24D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0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0436F9"/>
    <w:multiLevelType w:val="hybridMultilevel"/>
    <w:tmpl w:val="7E24C56E"/>
    <w:lvl w:ilvl="0" w:tplc="CA106F60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E5B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E9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0C9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EDA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43A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65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B8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233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C6032B"/>
    <w:multiLevelType w:val="hybridMultilevel"/>
    <w:tmpl w:val="780A7988"/>
    <w:lvl w:ilvl="0" w:tplc="EC4EEE9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108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E74E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A8F0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2D23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19A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61E8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EFDE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A26C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8D4F6D"/>
    <w:multiLevelType w:val="hybridMultilevel"/>
    <w:tmpl w:val="96BE772C"/>
    <w:lvl w:ilvl="0" w:tplc="6CDE0434">
      <w:start w:val="1"/>
      <w:numFmt w:val="bullet"/>
      <w:lvlText w:val="•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8A9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ED0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5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1E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3CA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A52B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E26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2E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20"/>
    <w:rsid w:val="00266A91"/>
    <w:rsid w:val="003131D4"/>
    <w:rsid w:val="004106F8"/>
    <w:rsid w:val="00591E75"/>
    <w:rsid w:val="006B176A"/>
    <w:rsid w:val="008B4537"/>
    <w:rsid w:val="00E25764"/>
    <w:rsid w:val="00EE3106"/>
    <w:rsid w:val="00F27420"/>
    <w:rsid w:val="00FA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91"/>
  </w:style>
  <w:style w:type="paragraph" w:styleId="1">
    <w:name w:val="heading 1"/>
    <w:next w:val="a"/>
    <w:link w:val="10"/>
    <w:uiPriority w:val="9"/>
    <w:unhideWhenUsed/>
    <w:qFormat/>
    <w:rsid w:val="006B176A"/>
    <w:pPr>
      <w:keepNext/>
      <w:keepLines/>
      <w:numPr>
        <w:numId w:val="2"/>
      </w:numPr>
      <w:spacing w:after="0"/>
      <w:ind w:left="10" w:right="1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76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basedOn w:val="a0"/>
    <w:uiPriority w:val="99"/>
    <w:unhideWhenUsed/>
    <w:rsid w:val="006B17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E15A-B6FF-4C23-8433-10730D7A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Пользователь2</cp:lastModifiedBy>
  <cp:revision>4</cp:revision>
  <dcterms:created xsi:type="dcterms:W3CDTF">2023-10-01T10:19:00Z</dcterms:created>
  <dcterms:modified xsi:type="dcterms:W3CDTF">2024-09-18T07:01:00Z</dcterms:modified>
</cp:coreProperties>
</file>