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C" w:rsidRPr="00B07BA8" w:rsidRDefault="006A16DA" w:rsidP="0010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28.04.2022</w:t>
      </w:r>
      <w:r w:rsidR="001C7877" w:rsidRPr="00B740B8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 </w:t>
      </w:r>
      <w:r w:rsidR="00B740B8" w:rsidRPr="00B740B8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состоялась </w:t>
      </w:r>
      <w:r w:rsidR="00B740B8" w:rsidRPr="00B740B8">
        <w:rPr>
          <w:rFonts w:ascii="Times New Roman" w:hAnsi="Times New Roman" w:cs="Times New Roman"/>
          <w:b/>
          <w:sz w:val="24"/>
          <w:szCs w:val="24"/>
        </w:rPr>
        <w:t>работа</w:t>
      </w:r>
      <w:r w:rsidR="001C7877" w:rsidRPr="00B7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0B8" w:rsidRPr="00B740B8">
        <w:rPr>
          <w:rFonts w:ascii="Times New Roman" w:hAnsi="Times New Roman" w:cs="Times New Roman"/>
          <w:b/>
          <w:sz w:val="24"/>
          <w:szCs w:val="24"/>
        </w:rPr>
        <w:t>секции</w:t>
      </w:r>
      <w:r w:rsidR="001C7877" w:rsidRPr="00B740B8">
        <w:rPr>
          <w:rFonts w:ascii="Times New Roman" w:hAnsi="Times New Roman" w:cs="Times New Roman"/>
          <w:b/>
          <w:sz w:val="24"/>
          <w:szCs w:val="24"/>
        </w:rPr>
        <w:t xml:space="preserve"> «Питание. Качество. Технологии»</w:t>
      </w:r>
      <w:r w:rsidR="00B740B8" w:rsidRPr="00B740B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B740B8" w:rsidRPr="00B740B8">
        <w:rPr>
          <w:rFonts w:ascii="Times New Roman" w:eastAsia="Times New Roman" w:hAnsi="Times New Roman" w:cs="Times New Roman"/>
          <w:b/>
          <w:sz w:val="24"/>
          <w:szCs w:val="24"/>
        </w:rPr>
        <w:t>рамках</w:t>
      </w:r>
      <w:proofErr w:type="gramStart"/>
      <w:r w:rsidRPr="00B07BA8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proofErr w:type="spellEnd"/>
      <w:proofErr w:type="gramEnd"/>
      <w:r w:rsidRPr="00B07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0B8" w:rsidRPr="00B740B8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Международной </w:t>
      </w:r>
      <w:r w:rsidRPr="00B740B8">
        <w:rPr>
          <w:rFonts w:ascii="Times New Roman" w:eastAsia="Times New Roman" w:hAnsi="Times New Roman" w:cs="Times New Roman"/>
          <w:b/>
          <w:sz w:val="24"/>
          <w:szCs w:val="24"/>
        </w:rPr>
        <w:t>конфер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енции </w:t>
      </w:r>
      <w:r w:rsidRPr="00B07BA8">
        <w:rPr>
          <w:rFonts w:ascii="Times New Roman" w:eastAsia="Times New Roman" w:hAnsi="Times New Roman" w:cs="Times New Roman"/>
          <w:b/>
          <w:sz w:val="24"/>
          <w:szCs w:val="24"/>
        </w:rPr>
        <w:t>студентов, аспирантов и молодых ученых</w:t>
      </w:r>
      <w:r w:rsidR="00635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«Проспект Свободный - 2022</w:t>
      </w:r>
      <w:r w:rsidR="00B740B8" w:rsidRPr="00B740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3519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2A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проводимой в Сибирском федеральном университете</w:t>
      </w:r>
      <w:r w:rsidR="002B2AED" w:rsidRPr="002B2AED">
        <w:rPr>
          <w:rFonts w:ascii="Times New Roman" w:eastAsia="Times New Roman" w:hAnsi="Times New Roman" w:cs="Times New Roman"/>
          <w:b/>
          <w:sz w:val="24"/>
          <w:szCs w:val="24"/>
        </w:rPr>
        <w:t xml:space="preserve"> (СФУ)</w:t>
      </w:r>
    </w:p>
    <w:p w:rsidR="00100B4F" w:rsidRPr="00F16265" w:rsidRDefault="00100B4F" w:rsidP="00100B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5877" w:rsidRPr="00B740B8" w:rsidRDefault="00875330" w:rsidP="0087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B8">
        <w:rPr>
          <w:rFonts w:ascii="Times New Roman" w:hAnsi="Times New Roman" w:cs="Times New Roman"/>
          <w:b/>
          <w:sz w:val="24"/>
          <w:szCs w:val="24"/>
        </w:rPr>
        <w:tab/>
      </w:r>
      <w:r w:rsidRPr="00B740B8">
        <w:rPr>
          <w:rFonts w:ascii="Times New Roman" w:hAnsi="Times New Roman" w:cs="Times New Roman"/>
          <w:sz w:val="24"/>
          <w:szCs w:val="24"/>
        </w:rPr>
        <w:t xml:space="preserve">Традиционно мощно стартовала </w:t>
      </w:r>
      <w:r w:rsidR="0089081F" w:rsidRPr="00B740B8">
        <w:rPr>
          <w:rFonts w:ascii="Times New Roman" w:hAnsi="Times New Roman" w:cs="Times New Roman"/>
          <w:sz w:val="24"/>
          <w:szCs w:val="24"/>
        </w:rPr>
        <w:t>ежегодная и успевшая приобрести заслуженный авторитет в научном сообществе молодых и ведущих ученых</w:t>
      </w:r>
      <w:r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Pr="00B740B8">
        <w:rPr>
          <w:rFonts w:ascii="Times New Roman" w:eastAsia="Times New Roman" w:hAnsi="Times New Roman" w:cs="Times New Roman"/>
          <w:sz w:val="24"/>
          <w:szCs w:val="24"/>
        </w:rPr>
        <w:t>Международная конфер</w:t>
      </w:r>
      <w:r w:rsidR="00B07BA8">
        <w:rPr>
          <w:rFonts w:ascii="Times New Roman" w:eastAsia="Times New Roman" w:hAnsi="Times New Roman" w:cs="Times New Roman"/>
          <w:sz w:val="24"/>
          <w:szCs w:val="24"/>
        </w:rPr>
        <w:t xml:space="preserve">енция </w:t>
      </w:r>
      <w:r w:rsidR="00B07BA8" w:rsidRPr="00B07BA8">
        <w:rPr>
          <w:rFonts w:ascii="Times New Roman" w:eastAsia="Times New Roman" w:hAnsi="Times New Roman" w:cs="Times New Roman"/>
          <w:b/>
          <w:sz w:val="24"/>
          <w:szCs w:val="24"/>
        </w:rPr>
        <w:t>студентов, аспирантов и молодых ученых</w:t>
      </w:r>
      <w:r w:rsidR="00B07BA8">
        <w:rPr>
          <w:rFonts w:ascii="Times New Roman" w:eastAsia="Times New Roman" w:hAnsi="Times New Roman" w:cs="Times New Roman"/>
          <w:sz w:val="24"/>
          <w:szCs w:val="24"/>
        </w:rPr>
        <w:t xml:space="preserve"> «Проспект Свободный - 2022</w:t>
      </w:r>
      <w:r w:rsidRPr="00B740B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07BA8">
        <w:rPr>
          <w:rFonts w:ascii="Times New Roman" w:eastAsia="Times New Roman" w:hAnsi="Times New Roman" w:cs="Times New Roman"/>
          <w:sz w:val="24"/>
          <w:szCs w:val="24"/>
        </w:rPr>
        <w:t xml:space="preserve">на этот раз </w:t>
      </w:r>
      <w:r w:rsidRPr="00B740B8">
        <w:rPr>
          <w:rFonts w:ascii="Times New Roman" w:eastAsia="Times New Roman" w:hAnsi="Times New Roman" w:cs="Times New Roman"/>
          <w:sz w:val="24"/>
          <w:szCs w:val="24"/>
        </w:rPr>
        <w:t xml:space="preserve">посвященная </w:t>
      </w:r>
      <w:r w:rsidR="00B07BA8" w:rsidRPr="006E0A5B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Международному году фундаментальных наук в интересах устойчивого развития</w:t>
      </w:r>
      <w:r w:rsidR="0089081F" w:rsidRPr="00B740B8">
        <w:rPr>
          <w:rFonts w:ascii="Times New Roman" w:eastAsia="Times New Roman" w:hAnsi="Times New Roman" w:cs="Times New Roman"/>
          <w:sz w:val="24"/>
          <w:szCs w:val="24"/>
        </w:rPr>
        <w:t xml:space="preserve">. В рамках данного </w:t>
      </w:r>
      <w:r w:rsidR="00506A82" w:rsidRPr="00B740B8">
        <w:rPr>
          <w:rFonts w:ascii="Times New Roman" w:eastAsia="Times New Roman" w:hAnsi="Times New Roman" w:cs="Times New Roman"/>
          <w:sz w:val="24"/>
          <w:szCs w:val="24"/>
        </w:rPr>
        <w:t>мас</w:t>
      </w:r>
      <w:r w:rsidR="00B07BA8">
        <w:rPr>
          <w:rFonts w:ascii="Times New Roman" w:eastAsia="Times New Roman" w:hAnsi="Times New Roman" w:cs="Times New Roman"/>
          <w:sz w:val="24"/>
          <w:szCs w:val="24"/>
        </w:rPr>
        <w:t>штабного научного мероприятия 28 апреля 2022</w:t>
      </w:r>
      <w:r w:rsidR="00506A82" w:rsidRPr="00B74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3E9" w:rsidRPr="00B740B8">
        <w:rPr>
          <w:rFonts w:ascii="Times New Roman" w:eastAsia="Times New Roman" w:hAnsi="Times New Roman" w:cs="Times New Roman"/>
          <w:sz w:val="24"/>
          <w:szCs w:val="24"/>
        </w:rPr>
        <w:t>на кафедре «Технология и организация общественного питания»</w:t>
      </w:r>
      <w:r w:rsidR="00B07BA8">
        <w:rPr>
          <w:rFonts w:ascii="Times New Roman" w:eastAsia="Times New Roman" w:hAnsi="Times New Roman" w:cs="Times New Roman"/>
          <w:sz w:val="24"/>
          <w:szCs w:val="24"/>
        </w:rPr>
        <w:t xml:space="preserve"> (ТООП)</w:t>
      </w:r>
      <w:r w:rsidR="000823E9" w:rsidRPr="00B74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A82" w:rsidRPr="00B740B8">
        <w:rPr>
          <w:rFonts w:ascii="Times New Roman" w:eastAsia="Times New Roman" w:hAnsi="Times New Roman" w:cs="Times New Roman"/>
          <w:sz w:val="24"/>
          <w:szCs w:val="24"/>
        </w:rPr>
        <w:t>не менее мощно прошла</w:t>
      </w:r>
      <w:r w:rsidR="00506A82" w:rsidRPr="00B740B8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и з</w:t>
      </w:r>
      <w:r w:rsidR="00506A82" w:rsidRPr="00B740B8">
        <w:rPr>
          <w:rFonts w:ascii="Times New Roman" w:hAnsi="Times New Roman" w:cs="Times New Roman"/>
          <w:sz w:val="24"/>
          <w:szCs w:val="24"/>
        </w:rPr>
        <w:t xml:space="preserve">авершила свою </w:t>
      </w:r>
      <w:r w:rsidR="00506A82" w:rsidRPr="00B740B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плодотворную </w:t>
      </w:r>
      <w:r w:rsidR="00506A82" w:rsidRPr="00B740B8">
        <w:rPr>
          <w:rFonts w:ascii="Times New Roman" w:hAnsi="Times New Roman" w:cs="Times New Roman"/>
          <w:sz w:val="24"/>
          <w:szCs w:val="24"/>
        </w:rPr>
        <w:t xml:space="preserve">работу секция </w:t>
      </w:r>
      <w:r w:rsidR="00B07BA8">
        <w:rPr>
          <w:rFonts w:ascii="Times New Roman" w:hAnsi="Times New Roman" w:cs="Times New Roman"/>
          <w:sz w:val="24"/>
          <w:szCs w:val="24"/>
        </w:rPr>
        <w:t xml:space="preserve">по научному направлению </w:t>
      </w:r>
      <w:r w:rsidR="00506A82" w:rsidRPr="00B740B8">
        <w:rPr>
          <w:rFonts w:ascii="Times New Roman" w:hAnsi="Times New Roman" w:cs="Times New Roman"/>
          <w:sz w:val="24"/>
          <w:szCs w:val="24"/>
        </w:rPr>
        <w:t>«Питание. Качество. Технологии»</w:t>
      </w:r>
      <w:r w:rsidR="00A10482" w:rsidRPr="00B740B8">
        <w:rPr>
          <w:rFonts w:ascii="Times New Roman" w:hAnsi="Times New Roman" w:cs="Times New Roman"/>
          <w:sz w:val="24"/>
          <w:szCs w:val="24"/>
        </w:rPr>
        <w:t>.</w:t>
      </w:r>
      <w:r w:rsidR="00506A82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C0410C">
        <w:rPr>
          <w:rFonts w:ascii="Times New Roman" w:hAnsi="Times New Roman" w:cs="Times New Roman"/>
          <w:sz w:val="24"/>
          <w:szCs w:val="24"/>
        </w:rPr>
        <w:t xml:space="preserve">Это </w:t>
      </w:r>
      <w:r w:rsidR="00C0410C" w:rsidRPr="00B740B8">
        <w:rPr>
          <w:rFonts w:ascii="Times New Roman" w:hAnsi="Times New Roman" w:cs="Times New Roman"/>
          <w:sz w:val="24"/>
          <w:szCs w:val="24"/>
        </w:rPr>
        <w:t>традиционн</w:t>
      </w:r>
      <w:r w:rsidR="00C0410C">
        <w:rPr>
          <w:rFonts w:ascii="Times New Roman" w:hAnsi="Times New Roman" w:cs="Times New Roman"/>
          <w:sz w:val="24"/>
          <w:szCs w:val="24"/>
        </w:rPr>
        <w:t xml:space="preserve">ое </w:t>
      </w:r>
      <w:r w:rsidR="00A10482" w:rsidRPr="00B740B8">
        <w:rPr>
          <w:rFonts w:ascii="Times New Roman" w:hAnsi="Times New Roman" w:cs="Times New Roman"/>
          <w:sz w:val="24"/>
          <w:szCs w:val="24"/>
        </w:rPr>
        <w:t xml:space="preserve">направление в составе </w:t>
      </w:r>
      <w:r w:rsidR="00C0410C" w:rsidRPr="00B740B8">
        <w:rPr>
          <w:rFonts w:ascii="Times New Roman" w:hAnsi="Times New Roman" w:cs="Times New Roman"/>
          <w:sz w:val="24"/>
          <w:szCs w:val="24"/>
        </w:rPr>
        <w:t>направленностей</w:t>
      </w:r>
      <w:r w:rsidR="00A10482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C0410C">
        <w:rPr>
          <w:rFonts w:ascii="Times New Roman" w:hAnsi="Times New Roman" w:cs="Times New Roman"/>
          <w:sz w:val="24"/>
          <w:szCs w:val="24"/>
        </w:rPr>
        <w:t xml:space="preserve">ежегодных </w:t>
      </w:r>
      <w:r w:rsidR="00A10482" w:rsidRPr="00B740B8">
        <w:rPr>
          <w:rFonts w:ascii="Times New Roman" w:hAnsi="Times New Roman" w:cs="Times New Roman"/>
          <w:sz w:val="24"/>
          <w:szCs w:val="24"/>
        </w:rPr>
        <w:t xml:space="preserve">конференций концепции </w:t>
      </w:r>
      <w:r w:rsidR="00A10482" w:rsidRPr="00B740B8">
        <w:rPr>
          <w:rFonts w:ascii="Times New Roman" w:eastAsia="Times New Roman" w:hAnsi="Times New Roman" w:cs="Times New Roman"/>
          <w:sz w:val="24"/>
          <w:szCs w:val="24"/>
        </w:rPr>
        <w:t>«Проспект Свободный»</w:t>
      </w:r>
      <w:r w:rsidR="00A10482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C0410C" w:rsidRPr="00B740B8">
        <w:rPr>
          <w:rFonts w:ascii="Times New Roman" w:hAnsi="Times New Roman" w:cs="Times New Roman"/>
          <w:sz w:val="24"/>
          <w:szCs w:val="24"/>
        </w:rPr>
        <w:t>образовало</w:t>
      </w:r>
      <w:r w:rsidR="00506A82" w:rsidRPr="00B740B8">
        <w:rPr>
          <w:rFonts w:ascii="Times New Roman" w:hAnsi="Times New Roman" w:cs="Times New Roman"/>
          <w:sz w:val="24"/>
          <w:szCs w:val="24"/>
        </w:rPr>
        <w:t xml:space="preserve"> свой круг </w:t>
      </w:r>
      <w:r w:rsidR="00C0410C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F738A3">
        <w:rPr>
          <w:rFonts w:ascii="Times New Roman" w:hAnsi="Times New Roman" w:cs="Times New Roman"/>
          <w:sz w:val="24"/>
          <w:szCs w:val="24"/>
        </w:rPr>
        <w:t>участников, партнеров</w:t>
      </w:r>
      <w:r w:rsidR="00C0410C">
        <w:rPr>
          <w:rFonts w:ascii="Times New Roman" w:hAnsi="Times New Roman" w:cs="Times New Roman"/>
          <w:sz w:val="24"/>
          <w:szCs w:val="24"/>
        </w:rPr>
        <w:t xml:space="preserve"> и</w:t>
      </w:r>
      <w:r w:rsidR="00506A82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C0410C">
        <w:rPr>
          <w:rFonts w:ascii="Times New Roman" w:hAnsi="Times New Roman" w:cs="Times New Roman"/>
          <w:sz w:val="24"/>
          <w:szCs w:val="24"/>
        </w:rPr>
        <w:t>все годы служит</w:t>
      </w:r>
      <w:r w:rsidR="00A10482" w:rsidRPr="00B740B8">
        <w:rPr>
          <w:rFonts w:ascii="Times New Roman" w:hAnsi="Times New Roman" w:cs="Times New Roman"/>
          <w:sz w:val="24"/>
          <w:szCs w:val="24"/>
        </w:rPr>
        <w:t xml:space="preserve"> ста</w:t>
      </w:r>
      <w:r w:rsidR="00F738A3">
        <w:rPr>
          <w:rFonts w:ascii="Times New Roman" w:hAnsi="Times New Roman" w:cs="Times New Roman"/>
          <w:sz w:val="24"/>
          <w:szCs w:val="24"/>
        </w:rPr>
        <w:t>ртовой площадкой для представления</w:t>
      </w:r>
      <w:r w:rsidR="00A10482" w:rsidRPr="00B740B8">
        <w:rPr>
          <w:rFonts w:ascii="Times New Roman" w:hAnsi="Times New Roman" w:cs="Times New Roman"/>
          <w:sz w:val="24"/>
          <w:szCs w:val="24"/>
        </w:rPr>
        <w:t xml:space="preserve"> новых научных </w:t>
      </w:r>
      <w:r w:rsidR="00DA544A">
        <w:rPr>
          <w:rFonts w:ascii="Times New Roman" w:hAnsi="Times New Roman" w:cs="Times New Roman"/>
          <w:sz w:val="24"/>
          <w:szCs w:val="24"/>
        </w:rPr>
        <w:t>открытий и</w:t>
      </w:r>
      <w:r w:rsidR="00B53869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A10482" w:rsidRPr="00B740B8">
        <w:rPr>
          <w:rFonts w:ascii="Times New Roman" w:hAnsi="Times New Roman" w:cs="Times New Roman"/>
          <w:sz w:val="24"/>
          <w:szCs w:val="24"/>
        </w:rPr>
        <w:t>новых имен</w:t>
      </w:r>
      <w:r w:rsidR="00B53869" w:rsidRPr="00B740B8">
        <w:rPr>
          <w:rFonts w:ascii="Times New Roman" w:hAnsi="Times New Roman" w:cs="Times New Roman"/>
          <w:sz w:val="24"/>
          <w:szCs w:val="24"/>
        </w:rPr>
        <w:t xml:space="preserve"> талантливых </w:t>
      </w:r>
      <w:r w:rsidR="00F738A3" w:rsidRPr="00B740B8">
        <w:rPr>
          <w:rFonts w:ascii="Times New Roman" w:hAnsi="Times New Roman" w:cs="Times New Roman"/>
          <w:sz w:val="24"/>
          <w:szCs w:val="24"/>
        </w:rPr>
        <w:t xml:space="preserve">молодых ученых </w:t>
      </w:r>
      <w:r w:rsidR="00F738A3">
        <w:rPr>
          <w:rFonts w:ascii="Times New Roman" w:hAnsi="Times New Roman" w:cs="Times New Roman"/>
          <w:sz w:val="24"/>
          <w:szCs w:val="24"/>
        </w:rPr>
        <w:t xml:space="preserve">– </w:t>
      </w:r>
      <w:r w:rsidR="00B53869" w:rsidRPr="00B740B8">
        <w:rPr>
          <w:rFonts w:ascii="Times New Roman" w:hAnsi="Times New Roman" w:cs="Times New Roman"/>
          <w:sz w:val="24"/>
          <w:szCs w:val="24"/>
        </w:rPr>
        <w:t>участников</w:t>
      </w:r>
      <w:r w:rsidR="00F738A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A10482" w:rsidRPr="00B740B8">
        <w:rPr>
          <w:rFonts w:ascii="Times New Roman" w:hAnsi="Times New Roman" w:cs="Times New Roman"/>
          <w:sz w:val="24"/>
          <w:szCs w:val="24"/>
        </w:rPr>
        <w:t>.</w:t>
      </w:r>
    </w:p>
    <w:p w:rsidR="00820DA1" w:rsidRDefault="00B53869" w:rsidP="0082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B8">
        <w:rPr>
          <w:rFonts w:ascii="Times New Roman" w:hAnsi="Times New Roman" w:cs="Times New Roman"/>
          <w:sz w:val="24"/>
          <w:szCs w:val="24"/>
        </w:rPr>
        <w:t xml:space="preserve">В этом году на секции «Питание. Качество. </w:t>
      </w:r>
      <w:proofErr w:type="gramStart"/>
      <w:r w:rsidRPr="00B740B8">
        <w:rPr>
          <w:rFonts w:ascii="Times New Roman" w:hAnsi="Times New Roman" w:cs="Times New Roman"/>
          <w:sz w:val="24"/>
          <w:szCs w:val="24"/>
        </w:rPr>
        <w:t xml:space="preserve">Технологии» </w:t>
      </w:r>
      <w:r w:rsidR="00957B1C">
        <w:rPr>
          <w:rFonts w:ascii="Times New Roman" w:hAnsi="Times New Roman" w:cs="Times New Roman"/>
          <w:sz w:val="24"/>
          <w:szCs w:val="24"/>
        </w:rPr>
        <w:t>доложены</w:t>
      </w:r>
      <w:r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957B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B740B8">
        <w:rPr>
          <w:rFonts w:ascii="Times New Roman" w:hAnsi="Times New Roman" w:cs="Times New Roman"/>
          <w:sz w:val="24"/>
          <w:szCs w:val="24"/>
        </w:rPr>
        <w:t xml:space="preserve">более 45 </w:t>
      </w:r>
      <w:r w:rsidR="00957B1C">
        <w:rPr>
          <w:rFonts w:ascii="Times New Roman" w:hAnsi="Times New Roman" w:cs="Times New Roman"/>
          <w:sz w:val="24"/>
          <w:szCs w:val="24"/>
        </w:rPr>
        <w:t>научных работ, 7</w:t>
      </w:r>
      <w:r w:rsidRPr="00B7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B8">
        <w:rPr>
          <w:rFonts w:ascii="Times New Roman" w:hAnsi="Times New Roman" w:cs="Times New Roman"/>
          <w:sz w:val="24"/>
          <w:szCs w:val="24"/>
        </w:rPr>
        <w:t>постер-сессий</w:t>
      </w:r>
      <w:proofErr w:type="spellEnd"/>
      <w:r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F738A3">
        <w:rPr>
          <w:rFonts w:ascii="Times New Roman" w:hAnsi="Times New Roman" w:cs="Times New Roman"/>
          <w:sz w:val="24"/>
          <w:szCs w:val="24"/>
        </w:rPr>
        <w:t>от участников</w:t>
      </w:r>
      <w:r w:rsidRPr="00B740B8">
        <w:rPr>
          <w:rFonts w:ascii="Times New Roman" w:hAnsi="Times New Roman" w:cs="Times New Roman"/>
          <w:sz w:val="24"/>
          <w:szCs w:val="24"/>
        </w:rPr>
        <w:t xml:space="preserve"> из Беларуси</w:t>
      </w:r>
      <w:r w:rsidR="0065612C">
        <w:rPr>
          <w:rFonts w:ascii="Times New Roman" w:hAnsi="Times New Roman" w:cs="Times New Roman"/>
          <w:sz w:val="24"/>
          <w:szCs w:val="24"/>
        </w:rPr>
        <w:t xml:space="preserve"> (Минск, Гродно, Могилев)</w:t>
      </w:r>
      <w:r w:rsidRPr="00B740B8">
        <w:rPr>
          <w:rFonts w:ascii="Times New Roman" w:hAnsi="Times New Roman" w:cs="Times New Roman"/>
          <w:sz w:val="24"/>
          <w:szCs w:val="24"/>
        </w:rPr>
        <w:t xml:space="preserve">, Польши, </w:t>
      </w:r>
      <w:r w:rsidR="00DA544A" w:rsidRPr="002A6393">
        <w:rPr>
          <w:rFonts w:ascii="Times New Roman" w:hAnsi="Times New Roman" w:cs="Times New Roman"/>
          <w:sz w:val="24"/>
          <w:szCs w:val="24"/>
        </w:rPr>
        <w:t>Кыргызстан</w:t>
      </w:r>
      <w:r w:rsidRPr="00B740B8">
        <w:rPr>
          <w:rFonts w:ascii="Times New Roman" w:hAnsi="Times New Roman" w:cs="Times New Roman"/>
          <w:sz w:val="24"/>
          <w:szCs w:val="24"/>
        </w:rPr>
        <w:t xml:space="preserve">а, </w:t>
      </w:r>
      <w:r w:rsidR="00DA544A" w:rsidRPr="002A6393">
        <w:rPr>
          <w:rFonts w:ascii="Times New Roman" w:eastAsia="Times New Roman" w:hAnsi="Times New Roman" w:cs="Times New Roman"/>
          <w:sz w:val="24"/>
          <w:szCs w:val="24"/>
        </w:rPr>
        <w:t>Таджикистан</w:t>
      </w:r>
      <w:r w:rsidR="00DA544A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DA544A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820DA1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  <w:r w:rsidR="0082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0B8">
        <w:rPr>
          <w:rFonts w:ascii="Times New Roman" w:hAnsi="Times New Roman" w:cs="Times New Roman"/>
          <w:sz w:val="24"/>
          <w:szCs w:val="24"/>
        </w:rPr>
        <w:t>Участники из России представляли</w:t>
      </w:r>
      <w:r w:rsidR="000823E9" w:rsidRPr="00B740B8">
        <w:rPr>
          <w:rFonts w:ascii="Times New Roman" w:hAnsi="Times New Roman" w:cs="Times New Roman"/>
          <w:sz w:val="24"/>
          <w:szCs w:val="24"/>
        </w:rPr>
        <w:t xml:space="preserve"> ведущие вузы</w:t>
      </w:r>
      <w:r w:rsidR="00957B1C">
        <w:rPr>
          <w:rFonts w:ascii="Times New Roman" w:hAnsi="Times New Roman" w:cs="Times New Roman"/>
          <w:sz w:val="24"/>
          <w:szCs w:val="24"/>
        </w:rPr>
        <w:t>, НИИ</w:t>
      </w:r>
      <w:r w:rsidR="000823E9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DA544A">
        <w:rPr>
          <w:rFonts w:ascii="Times New Roman" w:hAnsi="Times New Roman" w:cs="Times New Roman"/>
          <w:sz w:val="24"/>
          <w:szCs w:val="24"/>
        </w:rPr>
        <w:t xml:space="preserve">Волгограда, </w:t>
      </w:r>
      <w:r w:rsidR="000823E9" w:rsidRPr="00B740B8">
        <w:rPr>
          <w:rFonts w:ascii="Times New Roman" w:hAnsi="Times New Roman" w:cs="Times New Roman"/>
          <w:sz w:val="24"/>
          <w:szCs w:val="24"/>
        </w:rPr>
        <w:t xml:space="preserve">Екатеринбурга, </w:t>
      </w:r>
      <w:r w:rsidR="0065612C" w:rsidRPr="00B740B8">
        <w:rPr>
          <w:rFonts w:ascii="Times New Roman" w:hAnsi="Times New Roman" w:cs="Times New Roman"/>
          <w:sz w:val="24"/>
          <w:szCs w:val="24"/>
        </w:rPr>
        <w:t>Краснодара,</w:t>
      </w:r>
      <w:r w:rsidR="0065612C">
        <w:rPr>
          <w:rFonts w:ascii="Times New Roman" w:hAnsi="Times New Roman" w:cs="Times New Roman"/>
          <w:sz w:val="24"/>
          <w:szCs w:val="24"/>
        </w:rPr>
        <w:t xml:space="preserve"> </w:t>
      </w:r>
      <w:r w:rsidR="0065612C" w:rsidRPr="00B740B8">
        <w:rPr>
          <w:rFonts w:ascii="Times New Roman" w:hAnsi="Times New Roman" w:cs="Times New Roman"/>
          <w:sz w:val="24"/>
          <w:szCs w:val="24"/>
        </w:rPr>
        <w:t>Кемерово,</w:t>
      </w:r>
      <w:r w:rsidR="0065612C">
        <w:rPr>
          <w:rFonts w:ascii="Times New Roman" w:hAnsi="Times New Roman" w:cs="Times New Roman"/>
          <w:sz w:val="24"/>
          <w:szCs w:val="24"/>
        </w:rPr>
        <w:t xml:space="preserve"> </w:t>
      </w:r>
      <w:r w:rsidR="0065612C" w:rsidRPr="00B740B8">
        <w:rPr>
          <w:rFonts w:ascii="Times New Roman" w:hAnsi="Times New Roman" w:cs="Times New Roman"/>
          <w:sz w:val="24"/>
          <w:szCs w:val="24"/>
        </w:rPr>
        <w:t>Красноярска</w:t>
      </w:r>
      <w:r w:rsidR="0065612C">
        <w:rPr>
          <w:rFonts w:ascii="Times New Roman" w:hAnsi="Times New Roman" w:cs="Times New Roman"/>
          <w:sz w:val="24"/>
          <w:szCs w:val="24"/>
        </w:rPr>
        <w:t>,</w:t>
      </w:r>
      <w:r w:rsidR="0065612C" w:rsidRPr="00B740B8">
        <w:rPr>
          <w:rFonts w:ascii="Times New Roman" w:hAnsi="Times New Roman" w:cs="Times New Roman"/>
          <w:sz w:val="24"/>
          <w:szCs w:val="24"/>
        </w:rPr>
        <w:t xml:space="preserve"> </w:t>
      </w:r>
      <w:r w:rsidR="000823E9" w:rsidRPr="00B740B8">
        <w:rPr>
          <w:rFonts w:ascii="Times New Roman" w:hAnsi="Times New Roman" w:cs="Times New Roman"/>
          <w:sz w:val="24"/>
          <w:szCs w:val="24"/>
        </w:rPr>
        <w:t xml:space="preserve">Новосибирска, </w:t>
      </w:r>
      <w:r w:rsidR="0065612C">
        <w:rPr>
          <w:rFonts w:ascii="Times New Roman" w:hAnsi="Times New Roman" w:cs="Times New Roman"/>
          <w:sz w:val="24"/>
          <w:szCs w:val="24"/>
        </w:rPr>
        <w:t>Пятигор</w:t>
      </w:r>
      <w:r w:rsidR="000823E9" w:rsidRPr="00B740B8">
        <w:rPr>
          <w:rFonts w:ascii="Times New Roman" w:hAnsi="Times New Roman" w:cs="Times New Roman"/>
          <w:sz w:val="24"/>
          <w:szCs w:val="24"/>
        </w:rPr>
        <w:t>ска,</w:t>
      </w:r>
      <w:r w:rsidR="00957B1C" w:rsidRPr="00957B1C">
        <w:rPr>
          <w:rFonts w:ascii="Times New Roman" w:hAnsi="Times New Roman" w:cs="Times New Roman"/>
          <w:sz w:val="24"/>
          <w:szCs w:val="24"/>
        </w:rPr>
        <w:t xml:space="preserve"> </w:t>
      </w:r>
      <w:r w:rsidR="00957B1C">
        <w:rPr>
          <w:rFonts w:ascii="Times New Roman" w:hAnsi="Times New Roman" w:cs="Times New Roman"/>
          <w:sz w:val="24"/>
          <w:szCs w:val="24"/>
        </w:rPr>
        <w:t>Санкт-Петербурга</w:t>
      </w:r>
      <w:r w:rsidR="000823E9" w:rsidRPr="00B740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2AED" w:rsidRDefault="002B2AED" w:rsidP="0082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DA1" w:rsidRDefault="0089305E" w:rsidP="0089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1007" cy="1692000"/>
            <wp:effectExtent l="19050" t="0" r="1243" b="0"/>
            <wp:docPr id="24" name="Рисунок 6" descr="C:\Users\1\AppData\Local\Microsoft\Windows\Temporary Internet Files\Content.Word\IMG-202204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IMG-20220428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07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30740" cy="1692000"/>
            <wp:effectExtent l="19050" t="0" r="0" b="0"/>
            <wp:docPr id="25" name="Рисунок 21" descr="C:\Users\1\AppData\Local\Microsoft\Windows\Temporary Internet Files\Content.Word\IMG-2022042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Microsoft\Windows\Temporary Internet Files\Content.Word\IMG-20220428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4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EB" w:rsidRDefault="00D37EEB" w:rsidP="00D37EEB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924000" cy="1827353"/>
            <wp:effectExtent l="19050" t="0" r="300" b="0"/>
            <wp:docPr id="17" name="Рисунок 12" descr="C:\Users\1\AppData\Local\Microsoft\Windows\Temporary Internet Files\Content.Word\IMG-202204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Temporary Internet Files\Content.Word\IMG-2022042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18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8000" cy="1841538"/>
            <wp:effectExtent l="19050" t="0" r="0" b="0"/>
            <wp:docPr id="18" name="Рисунок 9" descr="C:\Users\1\AppData\Local\Microsoft\Windows\Temporary Internet Files\Content.Word\IMG-202204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-20220428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84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A1" w:rsidRDefault="00820DA1" w:rsidP="0082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1452" cy="1836000"/>
            <wp:effectExtent l="19050" t="0" r="0" b="0"/>
            <wp:docPr id="20" name="Рисунок 18" descr="C:\Users\1\AppData\Local\Microsoft\Windows\Temporary Internet Files\Content.Word\IMG-202204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Temporary Internet Files\Content.Word\IMG-20220428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52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05E">
        <w:rPr>
          <w:noProof/>
          <w:lang w:eastAsia="ru-RU"/>
        </w:rPr>
        <w:drawing>
          <wp:inline distT="0" distB="0" distL="0" distR="0">
            <wp:extent cx="3060000" cy="1840626"/>
            <wp:effectExtent l="19050" t="0" r="7050" b="0"/>
            <wp:docPr id="22" name="Рисунок 15" descr="C:\Users\1\AppData\Local\Microsoft\Windows\Temporary Internet Files\Content.Word\IMG-2022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IMG-20220428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4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05E" w:rsidRPr="0089305E" w:rsidRDefault="0089305E" w:rsidP="0082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20DA1" w:rsidRDefault="00820DA1" w:rsidP="0082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на секции</w:t>
      </w:r>
      <w:r w:rsidRPr="00B740B8">
        <w:rPr>
          <w:rFonts w:ascii="Times New Roman" w:hAnsi="Times New Roman" w:cs="Times New Roman"/>
          <w:sz w:val="24"/>
          <w:szCs w:val="24"/>
        </w:rPr>
        <w:t xml:space="preserve"> научно-исследовательские работы в основном носили </w:t>
      </w:r>
      <w:r>
        <w:rPr>
          <w:rFonts w:ascii="Times New Roman" w:hAnsi="Times New Roman" w:cs="Times New Roman"/>
          <w:sz w:val="24"/>
          <w:szCs w:val="24"/>
        </w:rPr>
        <w:t>аналитический и прикладной характер.</w:t>
      </w:r>
    </w:p>
    <w:p w:rsidR="005F5332" w:rsidRDefault="005F5332" w:rsidP="0082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E84" w:rsidRPr="00393A52" w:rsidRDefault="00551E84" w:rsidP="00393A5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93A52">
        <w:rPr>
          <w:rFonts w:ascii="Times New Roman" w:hAnsi="Times New Roman" w:cs="Times New Roman"/>
          <w:b/>
          <w:sz w:val="25"/>
          <w:szCs w:val="25"/>
        </w:rPr>
        <w:lastRenderedPageBreak/>
        <w:t>Вот лишь некоторые из актуальных результатов, полученных участниками секции:</w:t>
      </w:r>
    </w:p>
    <w:p w:rsidR="00393A52" w:rsidRDefault="00393A52" w:rsidP="00393A5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93A52" w:rsidRDefault="00393A52" w:rsidP="00393A5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93A52" w:rsidRPr="00393A52" w:rsidRDefault="00393A52" w:rsidP="002B2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D2">
        <w:rPr>
          <w:rFonts w:ascii="Times New Roman" w:hAnsi="Times New Roman" w:cs="Times New Roman"/>
          <w:b/>
          <w:sz w:val="24"/>
          <w:szCs w:val="24"/>
        </w:rPr>
        <w:t xml:space="preserve">Корреляционная матрица </w:t>
      </w:r>
      <w:proofErr w:type="gramStart"/>
      <w:r w:rsidRPr="004B43D2">
        <w:rPr>
          <w:rFonts w:ascii="Times New Roman" w:hAnsi="Times New Roman" w:cs="Times New Roman"/>
          <w:b/>
          <w:sz w:val="24"/>
          <w:szCs w:val="24"/>
        </w:rPr>
        <w:t>зависимости показателей биохимического состава ягод голубики высокоросло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</w:p>
    <w:p w:rsidR="0089305E" w:rsidRPr="00393A52" w:rsidRDefault="00393A52" w:rsidP="00F738A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726440</wp:posOffset>
            </wp:positionV>
            <wp:extent cx="6229350" cy="2200275"/>
            <wp:effectExtent l="0" t="0" r="0" b="0"/>
            <wp:wrapSquare wrapText="bothSides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93A52" w:rsidRDefault="00393A52" w:rsidP="00F7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D2" w:rsidRDefault="0089305E" w:rsidP="00F7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AC">
        <w:rPr>
          <w:rFonts w:ascii="Times New Roman" w:hAnsi="Times New Roman" w:cs="Times New Roman"/>
          <w:b/>
          <w:sz w:val="24"/>
          <w:szCs w:val="24"/>
        </w:rPr>
        <w:t xml:space="preserve">Конфигурации электродов </w:t>
      </w:r>
      <w:proofErr w:type="spellStart"/>
      <w:r w:rsidRPr="002244AC">
        <w:rPr>
          <w:rFonts w:ascii="Times New Roman" w:hAnsi="Times New Roman" w:cs="Times New Roman"/>
          <w:b/>
          <w:sz w:val="24"/>
          <w:szCs w:val="24"/>
        </w:rPr>
        <w:t>APPJs</w:t>
      </w:r>
      <w:proofErr w:type="spellEnd"/>
      <w:r w:rsidRPr="002244AC">
        <w:rPr>
          <w:rFonts w:ascii="Times New Roman" w:hAnsi="Times New Roman" w:cs="Times New Roman"/>
          <w:b/>
          <w:sz w:val="24"/>
          <w:szCs w:val="24"/>
        </w:rPr>
        <w:t xml:space="preserve"> для инновационной обработки пищевых систем</w:t>
      </w:r>
    </w:p>
    <w:p w:rsidR="0089305E" w:rsidRPr="004B43D2" w:rsidRDefault="0089305E" w:rsidP="00F7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43D2" w:rsidRDefault="004B43D2" w:rsidP="002B2AE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4783" cy="2592000"/>
            <wp:effectExtent l="19050" t="0" r="4017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783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ED" w:rsidRPr="002B2AED" w:rsidRDefault="002B2AED" w:rsidP="002B2AE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3A52" w:rsidRDefault="00393A52" w:rsidP="00393A5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A1CA2" w:rsidRDefault="002A1CA2" w:rsidP="002A1C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688">
        <w:rPr>
          <w:rFonts w:ascii="Times New Roman" w:hAnsi="Times New Roman"/>
          <w:b/>
          <w:sz w:val="24"/>
          <w:szCs w:val="24"/>
        </w:rPr>
        <w:t xml:space="preserve">Распределение </w:t>
      </w:r>
      <w:r w:rsidRPr="00A75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доли отечественных </w:t>
      </w:r>
      <w:proofErr w:type="spellStart"/>
      <w:r w:rsidRPr="00A75688">
        <w:rPr>
          <w:rFonts w:ascii="Times New Roman" w:eastAsia="Times New Roman" w:hAnsi="Times New Roman"/>
          <w:b/>
          <w:sz w:val="24"/>
          <w:szCs w:val="24"/>
          <w:lang w:eastAsia="ru-RU"/>
        </w:rPr>
        <w:t>безглютеновых</w:t>
      </w:r>
      <w:proofErr w:type="spellEnd"/>
      <w:r w:rsidRPr="00A75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мучных</w:t>
      </w:r>
      <w:r w:rsidRPr="00A75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продуктов</w:t>
      </w:r>
    </w:p>
    <w:p w:rsidR="002A1CA2" w:rsidRPr="00A75688" w:rsidRDefault="002A1CA2" w:rsidP="002A1C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88">
        <w:rPr>
          <w:rFonts w:ascii="Times New Roman" w:eastAsia="Times New Roman" w:hAnsi="Times New Roman"/>
          <w:b/>
          <w:sz w:val="24"/>
          <w:szCs w:val="24"/>
          <w:lang w:eastAsia="ru-RU"/>
        </w:rPr>
        <w:t>на потребительском рынке Красноярска</w:t>
      </w:r>
    </w:p>
    <w:p w:rsidR="002A1CA2" w:rsidRPr="002A1CA2" w:rsidRDefault="002A1CA2" w:rsidP="002A1CA2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A75688" w:rsidRDefault="00A75688" w:rsidP="00A756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1480" cy="2412000"/>
            <wp:effectExtent l="19050" t="0" r="13970" b="735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43D2" w:rsidRPr="00F16265" w:rsidRDefault="004B43D2" w:rsidP="004B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65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различных видов хлебобулочных изделий в рационе питания иностранных абитуриентов и студентов-первокурсников СФУ</w:t>
      </w:r>
    </w:p>
    <w:p w:rsidR="004B43D2" w:rsidRDefault="004B43D2" w:rsidP="004B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4795" cy="2052000"/>
            <wp:effectExtent l="19050" t="0" r="20955" b="540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2AED" w:rsidRPr="005F5332" w:rsidRDefault="002B2AED" w:rsidP="004B43D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p w:rsidR="002B2AED" w:rsidRPr="00B53B5C" w:rsidRDefault="002B2AED" w:rsidP="002B2AED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A75688" w:rsidRPr="00A75688" w:rsidRDefault="00A75688" w:rsidP="00A756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5688">
        <w:rPr>
          <w:rFonts w:ascii="Times New Roman" w:eastAsia="Calibri" w:hAnsi="Times New Roman" w:cs="Times New Roman"/>
          <w:b/>
        </w:rPr>
        <w:t xml:space="preserve">Данные о суточном рационе </w:t>
      </w:r>
      <w:r w:rsidR="00F16265">
        <w:rPr>
          <w:rFonts w:ascii="Times New Roman" w:eastAsia="Calibri" w:hAnsi="Times New Roman" w:cs="Times New Roman"/>
          <w:b/>
        </w:rPr>
        <w:t xml:space="preserve">фактического </w:t>
      </w:r>
      <w:r w:rsidRPr="00A75688">
        <w:rPr>
          <w:rFonts w:ascii="Times New Roman" w:eastAsia="Calibri" w:hAnsi="Times New Roman" w:cs="Times New Roman"/>
          <w:b/>
        </w:rPr>
        <w:t>питания спортсменов</w:t>
      </w:r>
      <w:r w:rsidR="00F16265" w:rsidRPr="00F16265">
        <w:rPr>
          <w:rFonts w:ascii="Times New Roman" w:eastAsia="Calibri" w:hAnsi="Times New Roman" w:cs="Times New Roman"/>
          <w:b/>
        </w:rPr>
        <w:t xml:space="preserve"> </w:t>
      </w:r>
      <w:r w:rsidR="00F16265">
        <w:rPr>
          <w:rFonts w:ascii="Times New Roman" w:eastAsia="Calibri" w:hAnsi="Times New Roman" w:cs="Times New Roman"/>
          <w:b/>
        </w:rPr>
        <w:t>(</w:t>
      </w:r>
      <w:r w:rsidR="00B53B5C">
        <w:rPr>
          <w:rFonts w:ascii="Times New Roman" w:hAnsi="Times New Roman" w:cs="Times New Roman"/>
        </w:rPr>
        <w:t>достоверность различий -</w:t>
      </w:r>
      <w:r w:rsidR="00B53B5C" w:rsidRPr="00B53B5C">
        <w:rPr>
          <w:rFonts w:ascii="Times New Roman" w:hAnsi="Times New Roman" w:cs="Times New Roman"/>
        </w:rPr>
        <w:t xml:space="preserve"> </w:t>
      </w:r>
      <w:proofErr w:type="spellStart"/>
      <w:r w:rsidR="00B53B5C" w:rsidRPr="00B53B5C">
        <w:rPr>
          <w:rFonts w:ascii="Times New Roman" w:hAnsi="Times New Roman" w:cs="Times New Roman"/>
        </w:rPr>
        <w:t>p</w:t>
      </w:r>
      <w:proofErr w:type="spellEnd"/>
      <w:r w:rsidR="00B53B5C" w:rsidRPr="00B53B5C">
        <w:rPr>
          <w:rFonts w:ascii="Times New Roman" w:hAnsi="Times New Roman" w:cs="Times New Roman"/>
        </w:rPr>
        <w:t xml:space="preserve"> ≤ 0,05</w:t>
      </w:r>
      <w:r w:rsidR="00F16265">
        <w:rPr>
          <w:rFonts w:ascii="Times New Roman" w:eastAsia="Calibri" w:hAnsi="Times New Roman" w:cs="Times New Roman"/>
          <w:b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09"/>
        <w:gridCol w:w="2552"/>
        <w:gridCol w:w="2091"/>
      </w:tblGrid>
      <w:tr w:rsidR="00A75688" w:rsidRPr="00A75688" w:rsidTr="002A1CA2"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688">
              <w:rPr>
                <w:rFonts w:ascii="Times New Roman" w:eastAsia="Calibri" w:hAnsi="Times New Roman" w:cs="Times New Roman"/>
                <w:b/>
              </w:rPr>
              <w:t>Качество питания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688">
              <w:rPr>
                <w:rFonts w:ascii="Times New Roman" w:eastAsia="Calibri" w:hAnsi="Times New Roman" w:cs="Times New Roman"/>
                <w:b/>
              </w:rPr>
              <w:t xml:space="preserve">Август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75688">
                <w:rPr>
                  <w:rFonts w:ascii="Times New Roman" w:eastAsia="Calibri" w:hAnsi="Times New Roman" w:cs="Times New Roman"/>
                  <w:b/>
                </w:rPr>
                <w:t>2021 г</w:t>
              </w:r>
            </w:smartTag>
            <w:r w:rsidRPr="00A7568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688">
              <w:rPr>
                <w:rFonts w:ascii="Times New Roman" w:eastAsia="Calibri" w:hAnsi="Times New Roman" w:cs="Times New Roman"/>
                <w:b/>
              </w:rPr>
              <w:t xml:space="preserve">Октябрь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75688">
                <w:rPr>
                  <w:rFonts w:ascii="Times New Roman" w:eastAsia="Calibri" w:hAnsi="Times New Roman" w:cs="Times New Roman"/>
                  <w:b/>
                </w:rPr>
                <w:t>2021 г</w:t>
              </w:r>
            </w:smartTag>
            <w:r w:rsidRPr="00A7568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proofErr w:type="gramStart"/>
            <w:r w:rsidRPr="00A75688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spellEnd"/>
            <w:proofErr w:type="gramEnd"/>
            <w:r w:rsidRPr="00A75688">
              <w:rPr>
                <w:rFonts w:ascii="Times New Roman" w:eastAsia="Calibri" w:hAnsi="Times New Roman" w:cs="Times New Roman"/>
                <w:b/>
                <w:i/>
              </w:rPr>
              <w:t xml:space="preserve"> ≤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F16265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Калорийность </w:t>
            </w:r>
            <w:r w:rsidR="00A75688" w:rsidRPr="00A7568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="00A75688" w:rsidRPr="00A75688">
              <w:rPr>
                <w:rFonts w:ascii="Times New Roman" w:eastAsia="Calibri" w:hAnsi="Times New Roman" w:cs="Times New Roman"/>
              </w:rPr>
              <w:t>ккал</w:t>
            </w:r>
            <w:proofErr w:type="gramEnd"/>
            <w:r w:rsidR="00A75688" w:rsidRPr="00A756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2846,17±451,36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 xml:space="preserve"> 2984,43±586,29</w:t>
            </w:r>
            <w:r w:rsidRPr="00A7568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</w:rPr>
              <w:t>0,00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001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Клетчатка (г)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 xml:space="preserve"> 45,41±16,56</w:t>
            </w:r>
            <w:r w:rsidRPr="00A7568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</w:rPr>
              <w:t>42,27±14,71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0,00006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Углеводы (г)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</w:rPr>
              <w:t>34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54</w:t>
            </w:r>
            <w:r w:rsidRPr="00A75688">
              <w:rPr>
                <w:rFonts w:ascii="Times New Roman" w:eastAsia="Calibri" w:hAnsi="Times New Roman" w:cs="Times New Roman"/>
              </w:rPr>
              <w:t>±6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A75688">
              <w:rPr>
                <w:rFonts w:ascii="Times New Roman" w:eastAsia="Calibri" w:hAnsi="Times New Roman" w:cs="Times New Roman"/>
              </w:rPr>
              <w:t>3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72</w:t>
            </w:r>
            <w:r w:rsidRPr="00A75688">
              <w:rPr>
                <w:rFonts w:ascii="Times New Roman" w:eastAsia="Calibri" w:hAnsi="Times New Roman" w:cs="Times New Roman"/>
              </w:rPr>
              <w:t>,2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A75688">
              <w:rPr>
                <w:rFonts w:ascii="Times New Roman" w:eastAsia="Calibri" w:hAnsi="Times New Roman" w:cs="Times New Roman"/>
              </w:rPr>
              <w:t>±8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11</w:t>
            </w:r>
            <w:r w:rsidRPr="00A75688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  <w:lang w:val="en-US"/>
              </w:rPr>
              <w:t>0,00006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Белки (г)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136,24±55,37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134,69±35,18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0,8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75688">
              <w:rPr>
                <w:rFonts w:ascii="Times New Roman" w:eastAsia="Calibri" w:hAnsi="Times New Roman" w:cs="Times New Roman"/>
              </w:rPr>
              <w:t>7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A7568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Жиры (г)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</w:rPr>
              <w:t>1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80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29</w:t>
            </w:r>
            <w:r w:rsidRPr="00A75688">
              <w:rPr>
                <w:rFonts w:ascii="Times New Roman" w:eastAsia="Calibri" w:hAnsi="Times New Roman" w:cs="Times New Roman"/>
              </w:rPr>
              <w:t>±3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05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A75688">
              <w:rPr>
                <w:rFonts w:ascii="Times New Roman" w:eastAsia="Calibri" w:hAnsi="Times New Roman" w:cs="Times New Roman"/>
              </w:rPr>
              <w:t>18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04</w:t>
            </w:r>
            <w:r w:rsidRPr="00A75688">
              <w:rPr>
                <w:rFonts w:ascii="Times New Roman" w:eastAsia="Calibri" w:hAnsi="Times New Roman" w:cs="Times New Roman"/>
              </w:rPr>
              <w:t>±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29</w:t>
            </w:r>
            <w:r w:rsidRPr="00A75688">
              <w:rPr>
                <w:rFonts w:ascii="Times New Roman" w:eastAsia="Calibri" w:hAnsi="Times New Roman" w:cs="Times New Roman"/>
              </w:rPr>
              <w:t>,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A75688">
              <w:rPr>
                <w:rFonts w:ascii="Times New Roman" w:eastAsia="Calibri" w:hAnsi="Times New Roman" w:cs="Times New Roman"/>
              </w:rPr>
              <w:t>3</w:t>
            </w:r>
            <w:r w:rsidRPr="00A75688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  <w:lang w:val="en-US"/>
              </w:rPr>
              <w:t>0,00162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Сахар (г)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119,43±54,17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120,94±54,42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0,80837</w:t>
            </w:r>
          </w:p>
        </w:tc>
      </w:tr>
      <w:tr w:rsidR="00A75688" w:rsidRPr="00A75688" w:rsidTr="002A1CA2">
        <w:trPr>
          <w:trHeight w:val="227"/>
        </w:trPr>
        <w:tc>
          <w:tcPr>
            <w:tcW w:w="2410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Кофеин (мг)</w:t>
            </w:r>
          </w:p>
        </w:tc>
        <w:tc>
          <w:tcPr>
            <w:tcW w:w="2409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165,30±82,04</w:t>
            </w:r>
          </w:p>
        </w:tc>
        <w:tc>
          <w:tcPr>
            <w:tcW w:w="2552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568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A75688">
              <w:rPr>
                <w:rFonts w:ascii="Times New Roman" w:eastAsia="Calibri" w:hAnsi="Times New Roman" w:cs="Times New Roman"/>
              </w:rPr>
              <w:t>196,17±32,11</w:t>
            </w:r>
            <w:r w:rsidRPr="00A75688">
              <w:rPr>
                <w:rFonts w:ascii="Times New Roman" w:eastAsia="Calibri" w:hAnsi="Times New Roman" w:cs="Times New Roman"/>
                <w:b/>
                <w:lang w:val="en-US"/>
              </w:rPr>
              <w:t>*</w:t>
            </w:r>
          </w:p>
        </w:tc>
        <w:tc>
          <w:tcPr>
            <w:tcW w:w="2091" w:type="dxa"/>
          </w:tcPr>
          <w:p w:rsidR="00A75688" w:rsidRPr="00A75688" w:rsidRDefault="00A75688" w:rsidP="00F1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5688">
              <w:rPr>
                <w:rFonts w:ascii="Times New Roman" w:eastAsia="Calibri" w:hAnsi="Times New Roman" w:cs="Times New Roman"/>
              </w:rPr>
              <w:t>0,00</w:t>
            </w:r>
            <w:r w:rsidRPr="00A75688">
              <w:rPr>
                <w:rFonts w:ascii="Times New Roman" w:eastAsia="Calibri" w:hAnsi="Times New Roman" w:cs="Times New Roman"/>
                <w:lang w:val="en-US"/>
              </w:rPr>
              <w:t>001</w:t>
            </w:r>
          </w:p>
        </w:tc>
      </w:tr>
    </w:tbl>
    <w:p w:rsidR="00235432" w:rsidRPr="00B53B5C" w:rsidRDefault="00235432" w:rsidP="002B2AE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2B2AED" w:rsidRPr="00B53B5C" w:rsidRDefault="002B2AED" w:rsidP="002B2AED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2B2AED" w:rsidRDefault="002B2AED" w:rsidP="0063519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Химический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тыквенно-кабачкового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гибрида сорта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pPr w:leftFromText="180" w:rightFromText="180" w:vertAnchor="text" w:horzAnchor="margin" w:tblpXSpec="center" w:tblpY="115"/>
        <w:tblW w:w="9464" w:type="dxa"/>
        <w:tblLook w:val="04A0"/>
      </w:tblPr>
      <w:tblGrid>
        <w:gridCol w:w="2977"/>
        <w:gridCol w:w="3173"/>
        <w:gridCol w:w="3314"/>
      </w:tblGrid>
      <w:tr w:rsidR="00235432" w:rsidTr="006B2782">
        <w:tc>
          <w:tcPr>
            <w:tcW w:w="2977" w:type="dxa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9B">
              <w:rPr>
                <w:rFonts w:ascii="Times New Roman" w:hAnsi="Times New Roman" w:cs="Times New Roman"/>
                <w:b/>
                <w:bCs/>
                <w:iCs/>
              </w:rPr>
              <w:t>Компоненты</w:t>
            </w:r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9B">
              <w:rPr>
                <w:rFonts w:ascii="Times New Roman" w:hAnsi="Times New Roman" w:cs="Times New Roman"/>
                <w:b/>
                <w:bCs/>
                <w:iCs/>
              </w:rPr>
              <w:t>Сырье</w:t>
            </w:r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9B">
              <w:rPr>
                <w:rFonts w:ascii="Times New Roman" w:hAnsi="Times New Roman" w:cs="Times New Roman"/>
                <w:b/>
                <w:bCs/>
                <w:iCs/>
              </w:rPr>
              <w:t>АСН</w:t>
            </w:r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91,35 ± 4,57 %</w:t>
            </w:r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0 %</w:t>
            </w:r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Моно- и дисахариды</w:t>
            </w:r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1,82 ± 0,05  %</w:t>
            </w:r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20,2 ± 0,40 %</w:t>
            </w:r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Пищевые волокна</w:t>
            </w:r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0,90 ± 0,04 %</w:t>
            </w:r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10,4 ± 0,05 %</w:t>
            </w:r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Органические кислоты</w:t>
            </w:r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0,114 ± 0,02 %</w:t>
            </w:r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1,27 ± 0,06 %</w:t>
            </w:r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19B">
              <w:rPr>
                <w:rFonts w:ascii="Times New Roman" w:hAnsi="Times New Roman" w:cs="Times New Roman"/>
              </w:rPr>
              <w:t>Каротиноиды</w:t>
            </w:r>
            <w:proofErr w:type="spellEnd"/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 xml:space="preserve">51,9 ± 2,59 </w:t>
            </w:r>
            <w:proofErr w:type="spellStart"/>
            <w:r w:rsidRPr="0063519B">
              <w:rPr>
                <w:rFonts w:ascii="Times New Roman" w:hAnsi="Times New Roman" w:cs="Times New Roman"/>
              </w:rPr>
              <w:t>мг%</w:t>
            </w:r>
            <w:proofErr w:type="spellEnd"/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 xml:space="preserve">576,7 ± 29,0 </w:t>
            </w:r>
            <w:proofErr w:type="spellStart"/>
            <w:r w:rsidRPr="0063519B">
              <w:rPr>
                <w:rFonts w:ascii="Times New Roman" w:hAnsi="Times New Roman" w:cs="Times New Roman"/>
              </w:rPr>
              <w:t>мг%</w:t>
            </w:r>
            <w:proofErr w:type="spellEnd"/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63519B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 xml:space="preserve">13,13 ± 0,65 </w:t>
            </w:r>
            <w:proofErr w:type="spellStart"/>
            <w:r w:rsidRPr="0063519B">
              <w:rPr>
                <w:rFonts w:ascii="Times New Roman" w:hAnsi="Times New Roman" w:cs="Times New Roman"/>
              </w:rPr>
              <w:t>мг%</w:t>
            </w:r>
            <w:proofErr w:type="spellEnd"/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 xml:space="preserve">145,9 ± 7,30 </w:t>
            </w:r>
            <w:proofErr w:type="spellStart"/>
            <w:r w:rsidRPr="0063519B">
              <w:rPr>
                <w:rFonts w:ascii="Times New Roman" w:hAnsi="Times New Roman" w:cs="Times New Roman"/>
              </w:rPr>
              <w:t>мг%</w:t>
            </w:r>
            <w:proofErr w:type="spellEnd"/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Зола</w:t>
            </w:r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0,96 ± 0,05 %</w:t>
            </w:r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11,36 ± 0,57 %</w:t>
            </w:r>
          </w:p>
        </w:tc>
      </w:tr>
      <w:tr w:rsidR="00235432" w:rsidTr="006B2782">
        <w:tc>
          <w:tcPr>
            <w:tcW w:w="2977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19B">
              <w:rPr>
                <w:rFonts w:ascii="Times New Roman" w:hAnsi="Times New Roman" w:cs="Times New Roman"/>
              </w:rPr>
              <w:t>Биофлавоноиды</w:t>
            </w:r>
            <w:proofErr w:type="spellEnd"/>
          </w:p>
        </w:tc>
        <w:tc>
          <w:tcPr>
            <w:tcW w:w="3173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 xml:space="preserve">2,79 ± 0,14 </w:t>
            </w:r>
            <w:proofErr w:type="spellStart"/>
            <w:r w:rsidRPr="0063519B">
              <w:rPr>
                <w:rFonts w:ascii="Times New Roman" w:hAnsi="Times New Roman" w:cs="Times New Roman"/>
              </w:rPr>
              <w:t>мг%</w:t>
            </w:r>
            <w:proofErr w:type="spellEnd"/>
          </w:p>
        </w:tc>
        <w:tc>
          <w:tcPr>
            <w:tcW w:w="3314" w:type="dxa"/>
            <w:vAlign w:val="center"/>
          </w:tcPr>
          <w:p w:rsidR="00235432" w:rsidRPr="0063519B" w:rsidRDefault="00235432" w:rsidP="006B2782">
            <w:pPr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</w:rPr>
              <w:t>31,2 ± 1,56 %</w:t>
            </w:r>
          </w:p>
        </w:tc>
      </w:tr>
    </w:tbl>
    <w:p w:rsidR="002244AC" w:rsidRPr="00B53B5C" w:rsidRDefault="002244AC" w:rsidP="00B53B5C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B53B5C" w:rsidRPr="00B53B5C" w:rsidRDefault="00B53B5C" w:rsidP="00B53B5C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865877" w:rsidRPr="00B740B8" w:rsidRDefault="00865877" w:rsidP="00F7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B8">
        <w:rPr>
          <w:rFonts w:ascii="Times New Roman" w:hAnsi="Times New Roman" w:cs="Times New Roman"/>
          <w:sz w:val="24"/>
          <w:szCs w:val="24"/>
        </w:rPr>
        <w:t>Качество научных работ</w:t>
      </w:r>
      <w:r w:rsidR="00957B1C">
        <w:rPr>
          <w:rFonts w:ascii="Times New Roman" w:hAnsi="Times New Roman" w:cs="Times New Roman"/>
          <w:sz w:val="24"/>
          <w:szCs w:val="24"/>
        </w:rPr>
        <w:t>, их презентаций</w:t>
      </w:r>
      <w:r w:rsidRPr="00B740B8">
        <w:rPr>
          <w:rFonts w:ascii="Times New Roman" w:hAnsi="Times New Roman" w:cs="Times New Roman"/>
          <w:sz w:val="24"/>
          <w:szCs w:val="24"/>
        </w:rPr>
        <w:t xml:space="preserve"> и докладов оценивалось экспертной группой – жюри, в котору</w:t>
      </w:r>
      <w:r w:rsidR="0063519B">
        <w:rPr>
          <w:rFonts w:ascii="Times New Roman" w:hAnsi="Times New Roman" w:cs="Times New Roman"/>
          <w:sz w:val="24"/>
          <w:szCs w:val="24"/>
        </w:rPr>
        <w:t>ю вош</w:t>
      </w:r>
      <w:r w:rsidRPr="00B740B8">
        <w:rPr>
          <w:rFonts w:ascii="Times New Roman" w:hAnsi="Times New Roman" w:cs="Times New Roman"/>
          <w:sz w:val="24"/>
          <w:szCs w:val="24"/>
        </w:rPr>
        <w:t xml:space="preserve">ли </w:t>
      </w:r>
      <w:r w:rsidR="00957B1C" w:rsidRPr="00B740B8">
        <w:rPr>
          <w:rFonts w:ascii="Times New Roman" w:hAnsi="Times New Roman" w:cs="Times New Roman"/>
          <w:sz w:val="24"/>
          <w:szCs w:val="24"/>
        </w:rPr>
        <w:t xml:space="preserve">авторитетные </w:t>
      </w:r>
      <w:r w:rsidRPr="00B740B8">
        <w:rPr>
          <w:rFonts w:ascii="Times New Roman" w:hAnsi="Times New Roman" w:cs="Times New Roman"/>
          <w:sz w:val="24"/>
          <w:szCs w:val="24"/>
        </w:rPr>
        <w:t>отечественные и зарубежные ученые:</w:t>
      </w:r>
    </w:p>
    <w:p w:rsidR="006A16DA" w:rsidRPr="0063519B" w:rsidRDefault="00865877" w:rsidP="0063519B">
      <w:pPr>
        <w:pStyle w:val="msonormalmailrucssattributepostfix"/>
        <w:spacing w:before="0" w:beforeAutospacing="0" w:after="0" w:afterAutospacing="0"/>
        <w:ind w:firstLine="708"/>
        <w:jc w:val="both"/>
      </w:pPr>
      <w:r w:rsidRPr="00B740B8">
        <w:t xml:space="preserve">- доктор наук о здоровье, Университет г. </w:t>
      </w:r>
      <w:proofErr w:type="spellStart"/>
      <w:r w:rsidRPr="00B740B8">
        <w:t>Сувалки</w:t>
      </w:r>
      <w:proofErr w:type="spellEnd"/>
      <w:r w:rsidRPr="00B740B8">
        <w:t xml:space="preserve"> (Институт здоровья) – Эва </w:t>
      </w:r>
      <w:proofErr w:type="spellStart"/>
      <w:r w:rsidRPr="00B740B8">
        <w:t>Клещевска</w:t>
      </w:r>
      <w:proofErr w:type="spellEnd"/>
      <w:r w:rsidRPr="00B740B8">
        <w:t xml:space="preserve"> (Польша);</w:t>
      </w:r>
      <w:r w:rsidR="0063519B">
        <w:t xml:space="preserve"> </w:t>
      </w:r>
      <w:r w:rsidRPr="00B740B8">
        <w:t xml:space="preserve">- доктор медицинских наук, профессор кафедры онкологии </w:t>
      </w:r>
      <w:r w:rsidRPr="00B740B8">
        <w:rPr>
          <w:iCs/>
        </w:rPr>
        <w:t>Красноярского государственного медицинского унив</w:t>
      </w:r>
      <w:r w:rsidR="006A16DA">
        <w:rPr>
          <w:iCs/>
        </w:rPr>
        <w:t>ерситета имени профессора В.</w:t>
      </w:r>
      <w:r w:rsidRPr="00B740B8">
        <w:rPr>
          <w:iCs/>
        </w:rPr>
        <w:t xml:space="preserve">Ф. </w:t>
      </w:r>
      <w:proofErr w:type="spellStart"/>
      <w:r w:rsidRPr="00B740B8">
        <w:rPr>
          <w:iCs/>
        </w:rPr>
        <w:t>Войно-Ясенецкого</w:t>
      </w:r>
      <w:proofErr w:type="spellEnd"/>
      <w:r w:rsidRPr="00B740B8">
        <w:t xml:space="preserve"> МЗ РФ</w:t>
      </w:r>
      <w:r w:rsidR="006A16DA">
        <w:rPr>
          <w:rStyle w:val="a4"/>
          <w:b w:val="0"/>
          <w:bCs w:val="0"/>
        </w:rPr>
        <w:t xml:space="preserve"> – Ю.</w:t>
      </w:r>
      <w:r w:rsidRPr="00B740B8">
        <w:rPr>
          <w:rStyle w:val="a4"/>
          <w:b w:val="0"/>
          <w:bCs w:val="0"/>
        </w:rPr>
        <w:t xml:space="preserve">А. </w:t>
      </w:r>
      <w:proofErr w:type="spellStart"/>
      <w:r w:rsidRPr="00B740B8">
        <w:rPr>
          <w:rStyle w:val="a4"/>
          <w:b w:val="0"/>
          <w:bCs w:val="0"/>
        </w:rPr>
        <w:t>Дыхно</w:t>
      </w:r>
      <w:proofErr w:type="spellEnd"/>
      <w:r w:rsidRPr="00B740B8">
        <w:rPr>
          <w:rStyle w:val="a4"/>
          <w:b w:val="0"/>
          <w:bCs w:val="0"/>
        </w:rPr>
        <w:t>;</w:t>
      </w:r>
      <w:r w:rsidR="0063519B">
        <w:t xml:space="preserve"> </w:t>
      </w:r>
      <w:r w:rsidRPr="00B740B8">
        <w:rPr>
          <w:rFonts w:eastAsia="Symbol"/>
        </w:rPr>
        <w:t xml:space="preserve">- </w:t>
      </w:r>
      <w:r w:rsidRPr="00B740B8">
        <w:t xml:space="preserve">доктор медицинских наук, профессор кафедры социальной педагогики и социальной работы ФГБОУ </w:t>
      </w:r>
      <w:proofErr w:type="gramStart"/>
      <w:r w:rsidRPr="00B740B8">
        <w:t>ВО</w:t>
      </w:r>
      <w:proofErr w:type="gramEnd"/>
      <w:r w:rsidRPr="00B740B8">
        <w:t xml:space="preserve"> «Красноярский государственный пе</w:t>
      </w:r>
      <w:r w:rsidR="006A16DA">
        <w:t>дагогический университет им. В.</w:t>
      </w:r>
      <w:r w:rsidR="00957B1C">
        <w:t>П. Астафьева» – Л.</w:t>
      </w:r>
      <w:r w:rsidRPr="00B740B8">
        <w:t xml:space="preserve">Г. </w:t>
      </w:r>
      <w:proofErr w:type="spellStart"/>
      <w:r w:rsidRPr="00B740B8">
        <w:t>Климацкая</w:t>
      </w:r>
      <w:proofErr w:type="spellEnd"/>
      <w:r w:rsidRPr="00B740B8">
        <w:t>;</w:t>
      </w:r>
      <w:r w:rsidR="0063519B">
        <w:t xml:space="preserve"> </w:t>
      </w:r>
      <w:r w:rsidRPr="00B740B8">
        <w:rPr>
          <w:rFonts w:eastAsia="Symbol"/>
        </w:rPr>
        <w:t xml:space="preserve">- </w:t>
      </w:r>
      <w:r w:rsidRPr="00B740B8">
        <w:t>доктор медицинских наук, врач по общей гигиене, руководитель органа инспекц</w:t>
      </w:r>
      <w:proofErr w:type="gramStart"/>
      <w:r w:rsidRPr="00B740B8">
        <w:t>ии ООО</w:t>
      </w:r>
      <w:proofErr w:type="gramEnd"/>
      <w:r w:rsidRPr="00B740B8">
        <w:t xml:space="preserve"> «Фонд санитарно-эпидемиологического бл</w:t>
      </w:r>
      <w:r w:rsidR="006A16DA">
        <w:t xml:space="preserve">агополучия» – А.М. </w:t>
      </w:r>
      <w:proofErr w:type="spellStart"/>
      <w:r w:rsidR="006A16DA">
        <w:t>Василовский</w:t>
      </w:r>
      <w:proofErr w:type="spellEnd"/>
      <w:r w:rsidR="006A16DA">
        <w:t>;</w:t>
      </w:r>
      <w:r w:rsidR="0063519B">
        <w:t xml:space="preserve"> </w:t>
      </w:r>
      <w:r w:rsidR="006A16DA" w:rsidRPr="006A16DA">
        <w:t xml:space="preserve">- заведующий кафедрой гигиены </w:t>
      </w:r>
      <w:r w:rsidR="006A16DA" w:rsidRPr="006A16DA">
        <w:rPr>
          <w:iCs/>
        </w:rPr>
        <w:t xml:space="preserve">Красноярского государственного медицинского университета имени профессора В.Ф. </w:t>
      </w:r>
      <w:proofErr w:type="spellStart"/>
      <w:r w:rsidR="006A16DA" w:rsidRPr="006A16DA">
        <w:rPr>
          <w:iCs/>
        </w:rPr>
        <w:t>Войно-Ясенецкого</w:t>
      </w:r>
      <w:proofErr w:type="spellEnd"/>
      <w:r w:rsidR="006A16DA" w:rsidRPr="006A16DA">
        <w:t xml:space="preserve"> МЗ РФ</w:t>
      </w:r>
      <w:r w:rsidR="006A16DA" w:rsidRPr="006A16DA">
        <w:rPr>
          <w:rStyle w:val="a4"/>
        </w:rPr>
        <w:t xml:space="preserve"> – </w:t>
      </w:r>
      <w:r w:rsidR="006A16DA" w:rsidRPr="006A16DA">
        <w:rPr>
          <w:rStyle w:val="a4"/>
          <w:b w:val="0"/>
        </w:rPr>
        <w:t>О.Ю. Шик.</w:t>
      </w:r>
    </w:p>
    <w:p w:rsidR="00875330" w:rsidRPr="00B740B8" w:rsidRDefault="00865877" w:rsidP="00A11506">
      <w:pPr>
        <w:pStyle w:val="msonormalmailrucssattributepostfix"/>
        <w:spacing w:before="0" w:beforeAutospacing="0" w:after="0" w:afterAutospacing="0"/>
        <w:ind w:firstLine="708"/>
        <w:jc w:val="both"/>
      </w:pPr>
      <w:r w:rsidRPr="00B740B8">
        <w:t>Традиционно</w:t>
      </w:r>
      <w:r w:rsidR="00A11506" w:rsidRPr="00B740B8">
        <w:t xml:space="preserve"> работу</w:t>
      </w:r>
      <w:r w:rsidRPr="00B740B8">
        <w:t xml:space="preserve"> секции </w:t>
      </w:r>
      <w:r w:rsidR="00A11506" w:rsidRPr="00B740B8">
        <w:t xml:space="preserve">«Питание. Качество. </w:t>
      </w:r>
      <w:proofErr w:type="gramStart"/>
      <w:r w:rsidR="00A11506" w:rsidRPr="00B740B8">
        <w:t>Технологии» координировали модераторы</w:t>
      </w:r>
      <w:r w:rsidRPr="00B740B8">
        <w:t xml:space="preserve"> научного направления </w:t>
      </w:r>
      <w:r w:rsidR="00A11506" w:rsidRPr="00B740B8">
        <w:t xml:space="preserve">– </w:t>
      </w:r>
      <w:r w:rsidR="00875330" w:rsidRPr="00B740B8">
        <w:t xml:space="preserve">доктор технических наук, профессор кафедры </w:t>
      </w:r>
      <w:r w:rsidR="00B07BA8">
        <w:t>ТООП</w:t>
      </w:r>
      <w:r w:rsidR="00875330" w:rsidRPr="00B740B8">
        <w:t xml:space="preserve"> </w:t>
      </w:r>
      <w:r w:rsidR="00DF6F42">
        <w:t>СФУ</w:t>
      </w:r>
      <w:r w:rsidR="006A16DA">
        <w:t>, председатель секции – И.</w:t>
      </w:r>
      <w:r w:rsidR="00875330" w:rsidRPr="00B740B8">
        <w:t>Н. Пушмина</w:t>
      </w:r>
      <w:r w:rsidR="00DF6F42">
        <w:t xml:space="preserve"> и</w:t>
      </w:r>
      <w:r w:rsidR="00A11506" w:rsidRPr="00B740B8">
        <w:t xml:space="preserve"> </w:t>
      </w:r>
      <w:r w:rsidR="00B53B5C">
        <w:t>О.</w:t>
      </w:r>
      <w:r w:rsidR="00B53B5C" w:rsidRPr="00B740B8">
        <w:t xml:space="preserve">Я. </w:t>
      </w:r>
      <w:proofErr w:type="spellStart"/>
      <w:r w:rsidR="00B53B5C" w:rsidRPr="00B740B8">
        <w:t>Кольман</w:t>
      </w:r>
      <w:proofErr w:type="spellEnd"/>
      <w:r w:rsidR="00B53B5C" w:rsidRPr="00B740B8">
        <w:t xml:space="preserve"> </w:t>
      </w:r>
      <w:r w:rsidR="00B53B5C">
        <w:t xml:space="preserve">– </w:t>
      </w:r>
      <w:r w:rsidR="00A11506" w:rsidRPr="00B740B8">
        <w:t xml:space="preserve">кандидат технических наук, доцент кафедры </w:t>
      </w:r>
      <w:r w:rsidR="00B740B8">
        <w:t>ТООП</w:t>
      </w:r>
      <w:r w:rsidR="006A16DA">
        <w:t xml:space="preserve"> </w:t>
      </w:r>
      <w:r w:rsidR="00DF6F42">
        <w:t xml:space="preserve">СФУ, секретарь секции </w:t>
      </w:r>
      <w:r w:rsidR="00A11506" w:rsidRPr="00B740B8">
        <w:t xml:space="preserve">при поддержке </w:t>
      </w:r>
      <w:r w:rsidR="00DF6F42">
        <w:t>заведующего</w:t>
      </w:r>
      <w:r w:rsidR="00A11506" w:rsidRPr="00B740B8">
        <w:t xml:space="preserve"> кафедрой ТООП, доктора </w:t>
      </w:r>
      <w:r w:rsidR="006A16DA">
        <w:t>технических наук, профессора Г.</w:t>
      </w:r>
      <w:r w:rsidR="00B07BA8">
        <w:t xml:space="preserve">А. </w:t>
      </w:r>
      <w:proofErr w:type="spellStart"/>
      <w:r w:rsidR="00B07BA8">
        <w:t>Губаненко</w:t>
      </w:r>
      <w:proofErr w:type="spellEnd"/>
      <w:r w:rsidR="00B07BA8">
        <w:t>,</w:t>
      </w:r>
      <w:r w:rsidR="00A11506" w:rsidRPr="00B740B8">
        <w:t xml:space="preserve"> коллектива кафедры ТООП</w:t>
      </w:r>
      <w:r w:rsidR="00DF6F42">
        <w:t xml:space="preserve">, директора </w:t>
      </w:r>
      <w:proofErr w:type="spellStart"/>
      <w:r w:rsidR="00DF6F42">
        <w:t>ИТиСУ</w:t>
      </w:r>
      <w:proofErr w:type="spellEnd"/>
      <w:r w:rsidR="00DF6F42">
        <w:t xml:space="preserve"> СФУ, доктора экономических наук, профессора Ю.Ю. Сусловой и руководства СФУ</w:t>
      </w:r>
      <w:r w:rsidR="00A11506" w:rsidRPr="00B740B8">
        <w:t>.</w:t>
      </w:r>
      <w:proofErr w:type="gramEnd"/>
    </w:p>
    <w:p w:rsidR="00312383" w:rsidRPr="005F5332" w:rsidRDefault="001A7727" w:rsidP="005F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научного мероприятия участники имели возможность познакомиться с </w:t>
      </w:r>
      <w:r w:rsidR="00ED4E43"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научными работами друг друга</w:t>
      </w:r>
      <w:r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 с другом</w:t>
      </w:r>
      <w:r w:rsidR="00ED4E43"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877"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пообщаться,</w:t>
      </w:r>
      <w:r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4E43"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обменяться </w:t>
      </w:r>
      <w:r w:rsidR="00B740B8"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контактами</w:t>
      </w:r>
      <w:r w:rsidRPr="005F5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7877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завершении </w:t>
      </w:r>
      <w:r w:rsidR="00ED4E43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работы секции, участники приняли поздравл</w:t>
      </w:r>
      <w:r w:rsidR="005F5332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</w:t>
      </w:r>
      <w:r w:rsidR="00ED4E43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пожелания новых научных открытий,</w:t>
      </w:r>
      <w:r w:rsidR="001C7877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E43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C7877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E43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продвижения</w:t>
      </w:r>
      <w:proofErr w:type="gramStart"/>
      <w:r w:rsidR="001C7877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5332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</w:t>
      </w:r>
      <w:r w:rsid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332" w:rsidRP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  <w:r w:rsidR="005F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Пушминой</w:t>
      </w:r>
      <w:proofErr w:type="spellEnd"/>
      <w:r w:rsidR="0052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12383" w:rsidRPr="005F5332" w:rsidSect="005F533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4F"/>
    <w:rsid w:val="000565CC"/>
    <w:rsid w:val="000732BA"/>
    <w:rsid w:val="000823E9"/>
    <w:rsid w:val="000D4EE8"/>
    <w:rsid w:val="00100B4F"/>
    <w:rsid w:val="00126B59"/>
    <w:rsid w:val="00192AD5"/>
    <w:rsid w:val="001A7727"/>
    <w:rsid w:val="001C7877"/>
    <w:rsid w:val="002244AC"/>
    <w:rsid w:val="00226055"/>
    <w:rsid w:val="00235432"/>
    <w:rsid w:val="00281D53"/>
    <w:rsid w:val="002A1CA2"/>
    <w:rsid w:val="002B2AED"/>
    <w:rsid w:val="00312383"/>
    <w:rsid w:val="00357A46"/>
    <w:rsid w:val="00393A52"/>
    <w:rsid w:val="00393EFB"/>
    <w:rsid w:val="003B2BCD"/>
    <w:rsid w:val="00466823"/>
    <w:rsid w:val="0046736E"/>
    <w:rsid w:val="004B43D2"/>
    <w:rsid w:val="00506A82"/>
    <w:rsid w:val="00522FC5"/>
    <w:rsid w:val="00551E84"/>
    <w:rsid w:val="005C5378"/>
    <w:rsid w:val="005F5332"/>
    <w:rsid w:val="00610CF0"/>
    <w:rsid w:val="0063519B"/>
    <w:rsid w:val="00645600"/>
    <w:rsid w:val="00645FA1"/>
    <w:rsid w:val="0065612C"/>
    <w:rsid w:val="00657141"/>
    <w:rsid w:val="00682D60"/>
    <w:rsid w:val="006A16DA"/>
    <w:rsid w:val="007221D9"/>
    <w:rsid w:val="007864AA"/>
    <w:rsid w:val="00794A21"/>
    <w:rsid w:val="007C77CC"/>
    <w:rsid w:val="007D5727"/>
    <w:rsid w:val="007E7912"/>
    <w:rsid w:val="00820DA1"/>
    <w:rsid w:val="00843C0F"/>
    <w:rsid w:val="00865877"/>
    <w:rsid w:val="00875330"/>
    <w:rsid w:val="0089081F"/>
    <w:rsid w:val="0089305E"/>
    <w:rsid w:val="009414C9"/>
    <w:rsid w:val="00957B1C"/>
    <w:rsid w:val="00977397"/>
    <w:rsid w:val="00A0626D"/>
    <w:rsid w:val="00A10482"/>
    <w:rsid w:val="00A11506"/>
    <w:rsid w:val="00A457B0"/>
    <w:rsid w:val="00A7219E"/>
    <w:rsid w:val="00A75688"/>
    <w:rsid w:val="00AB1746"/>
    <w:rsid w:val="00AD06DC"/>
    <w:rsid w:val="00B07BA8"/>
    <w:rsid w:val="00B53869"/>
    <w:rsid w:val="00B53B5C"/>
    <w:rsid w:val="00B740B8"/>
    <w:rsid w:val="00BC372E"/>
    <w:rsid w:val="00C002C2"/>
    <w:rsid w:val="00C0410C"/>
    <w:rsid w:val="00C16DBE"/>
    <w:rsid w:val="00C41A64"/>
    <w:rsid w:val="00C561A9"/>
    <w:rsid w:val="00C82BF8"/>
    <w:rsid w:val="00C8681F"/>
    <w:rsid w:val="00C87F0A"/>
    <w:rsid w:val="00D07F2B"/>
    <w:rsid w:val="00D37EEB"/>
    <w:rsid w:val="00D46ADC"/>
    <w:rsid w:val="00DA544A"/>
    <w:rsid w:val="00DF6F42"/>
    <w:rsid w:val="00ED4E43"/>
    <w:rsid w:val="00F032FC"/>
    <w:rsid w:val="00F16265"/>
    <w:rsid w:val="00F738A3"/>
    <w:rsid w:val="00FD0567"/>
    <w:rsid w:val="00FD5743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4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7533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5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44;&#1048;&#1057;&#1057;&#1045;&#1056;&#1058;&#1040;&#1062;&#1048;&#1071;\&#1056;&#1091;&#1087;&#1072;&#1089;&#1086;&#1074;&#1072;%20&#1042;&#1057;&#1045;\&#1052;&#1086;&#1080;%20&#1076;&#1072;&#1085;&#1085;&#1099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9.3496872230286757E-2"/>
          <c:y val="4.7616490686755823E-2"/>
          <c:w val="0.58048146459261696"/>
          <c:h val="0.88181523111137861"/>
        </c:manualLayout>
      </c:layout>
      <c:scatterChart>
        <c:scatterStyle val="lineMarker"/>
        <c:ser>
          <c:idx val="1"/>
          <c:order val="0"/>
          <c:tx>
            <c:strRef>
              <c:f>корреляция!$C$27</c:f>
              <c:strCache>
                <c:ptCount val="1"/>
                <c:pt idx="0">
                  <c:v>кислотность (1)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корреляция!$D$27:$P$27</c:f>
              <c:numCache>
                <c:formatCode>General</c:formatCode>
                <c:ptCount val="13"/>
              </c:numCache>
            </c:numRef>
          </c:yVal>
        </c:ser>
        <c:ser>
          <c:idx val="2"/>
          <c:order val="1"/>
          <c:tx>
            <c:strRef>
              <c:f>корреляция!$C$28</c:f>
              <c:strCache>
                <c:ptCount val="1"/>
                <c:pt idx="0">
                  <c:v>витамин С (2)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корреляция!$D$28:$P$28</c:f>
              <c:numCache>
                <c:formatCode>General</c:formatCode>
                <c:ptCount val="13"/>
                <c:pt idx="0" formatCode="0.0">
                  <c:v>-0.14114095110033117</c:v>
                </c:pt>
              </c:numCache>
            </c:numRef>
          </c:yVal>
        </c:ser>
        <c:ser>
          <c:idx val="5"/>
          <c:order val="2"/>
          <c:tx>
            <c:strRef>
              <c:f>корреляция!$C$29</c:f>
              <c:strCache>
                <c:ptCount val="1"/>
                <c:pt idx="0">
                  <c:v>сумма редуц.сахаров (3)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корреляция!$D$29:$P$29</c:f>
              <c:numCache>
                <c:formatCode>0.0</c:formatCode>
                <c:ptCount val="13"/>
                <c:pt idx="0">
                  <c:v>0.41986765362413581</c:v>
                </c:pt>
                <c:pt idx="1">
                  <c:v>-0.22807624300368637</c:v>
                </c:pt>
              </c:numCache>
            </c:numRef>
          </c:yVal>
        </c:ser>
        <c:ser>
          <c:idx val="6"/>
          <c:order val="3"/>
          <c:tx>
            <c:strRef>
              <c:f>корреляция!$C$30</c:f>
              <c:strCache>
                <c:ptCount val="1"/>
                <c:pt idx="0">
                  <c:v>сахароза (4)</c:v>
                </c:pt>
              </c:strCache>
            </c:strRef>
          </c:tx>
          <c:spPr>
            <a:ln w="28575">
              <a:noFill/>
            </a:ln>
          </c:spPr>
          <c:marker>
            <c:symbol val="plus"/>
            <c:size val="9"/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корреляция!$D$30:$P$30</c:f>
              <c:numCache>
                <c:formatCode>0.0</c:formatCode>
                <c:ptCount val="13"/>
                <c:pt idx="0">
                  <c:v>6.1494688184648524E-2</c:v>
                </c:pt>
                <c:pt idx="1">
                  <c:v>-8.3497046833205024E-2</c:v>
                </c:pt>
                <c:pt idx="2">
                  <c:v>0.62266123882951385</c:v>
                </c:pt>
              </c:numCache>
            </c:numRef>
          </c:yVal>
        </c:ser>
        <c:ser>
          <c:idx val="7"/>
          <c:order val="4"/>
          <c:tx>
            <c:strRef>
              <c:f>корреляция!$C$31</c:f>
              <c:strCache>
                <c:ptCount val="1"/>
                <c:pt idx="0">
                  <c:v>сумма общ.сахаров (5)</c:v>
                </c:pt>
              </c:strCache>
            </c:strRef>
          </c:tx>
          <c:spPr>
            <a:ln w="28575">
              <a:noFill/>
            </a:ln>
          </c:spPr>
          <c:marker>
            <c:symbol val="dot"/>
            <c:size val="1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корреляция!$D$31:$P$31</c:f>
              <c:numCache>
                <c:formatCode>0.0</c:formatCode>
                <c:ptCount val="13"/>
                <c:pt idx="0">
                  <c:v>0.28676907144633923</c:v>
                </c:pt>
                <c:pt idx="1">
                  <c:v>6.1857273926632934E-2</c:v>
                </c:pt>
                <c:pt idx="2">
                  <c:v>0.44412004451775883</c:v>
                </c:pt>
                <c:pt idx="3">
                  <c:v>0.73528643914454794</c:v>
                </c:pt>
              </c:numCache>
            </c:numRef>
          </c:yVal>
        </c:ser>
        <c:ser>
          <c:idx val="9"/>
          <c:order val="5"/>
          <c:tx>
            <c:strRef>
              <c:f>корреляция!$C$32</c:f>
              <c:strCache>
                <c:ptCount val="1"/>
                <c:pt idx="0">
                  <c:v>гидропектин (6)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10"/>
            <c:spPr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корреляция!$D$32:$P$32</c:f>
              <c:numCache>
                <c:formatCode>0.0</c:formatCode>
                <c:ptCount val="13"/>
                <c:pt idx="0">
                  <c:v>0.33599877293290886</c:v>
                </c:pt>
                <c:pt idx="1">
                  <c:v>-0.52859895841406812</c:v>
                </c:pt>
                <c:pt idx="2">
                  <c:v>0.41486241092657788</c:v>
                </c:pt>
                <c:pt idx="3">
                  <c:v>0.29645113565634706</c:v>
                </c:pt>
                <c:pt idx="4">
                  <c:v>0.7173913022395334</c:v>
                </c:pt>
              </c:numCache>
            </c:numRef>
          </c:yVal>
        </c:ser>
        <c:ser>
          <c:idx val="10"/>
          <c:order val="6"/>
          <c:tx>
            <c:strRef>
              <c:f>корреляция!$C$33</c:f>
              <c:strCache>
                <c:ptCount val="1"/>
                <c:pt idx="0">
                  <c:v>протопектин (7)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6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корреляция!$D$33:$P$33</c:f>
              <c:numCache>
                <c:formatCode>0.0</c:formatCode>
                <c:ptCount val="13"/>
                <c:pt idx="0">
                  <c:v>7.3591858598718349E-2</c:v>
                </c:pt>
                <c:pt idx="1">
                  <c:v>-0.36685816674371197</c:v>
                </c:pt>
                <c:pt idx="2">
                  <c:v>0.18193511863150041</c:v>
                </c:pt>
                <c:pt idx="3">
                  <c:v>0.3809077429156264</c:v>
                </c:pt>
                <c:pt idx="4">
                  <c:v>0.68598599231020063</c:v>
                </c:pt>
                <c:pt idx="5">
                  <c:v>0.7988730579866623</c:v>
                </c:pt>
              </c:numCache>
            </c:numRef>
          </c:yVal>
        </c:ser>
        <c:ser>
          <c:idx val="12"/>
          <c:order val="7"/>
          <c:tx>
            <c:strRef>
              <c:f>корреляция!$C$34</c:f>
              <c:strCache>
                <c:ptCount val="1"/>
                <c:pt idx="0">
                  <c:v>клетчатка (8)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7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корреляция!$D$34:$P$34</c:f>
              <c:numCache>
                <c:formatCode>0.0</c:formatCode>
                <c:ptCount val="13"/>
                <c:pt idx="0">
                  <c:v>-0.19814384364983748</c:v>
                </c:pt>
                <c:pt idx="1">
                  <c:v>0.65926163272192573</c:v>
                </c:pt>
                <c:pt idx="2">
                  <c:v>-0.11296226836482325</c:v>
                </c:pt>
                <c:pt idx="3">
                  <c:v>0.30749551559701238</c:v>
                </c:pt>
                <c:pt idx="4">
                  <c:v>0.22158645119062811</c:v>
                </c:pt>
                <c:pt idx="5">
                  <c:v>-0.52399419168304762</c:v>
                </c:pt>
                <c:pt idx="6">
                  <c:v>-0.20762859811591589</c:v>
                </c:pt>
              </c:numCache>
            </c:numRef>
          </c:yVal>
        </c:ser>
        <c:ser>
          <c:idx val="13"/>
          <c:order val="8"/>
          <c:tx>
            <c:strRef>
              <c:f>корреляция!$C$35</c:f>
              <c:strCache>
                <c:ptCount val="1"/>
                <c:pt idx="0">
                  <c:v>антоцианы (9)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корреляция!$D$35:$P$35</c:f>
              <c:numCache>
                <c:formatCode>0.0</c:formatCode>
                <c:ptCount val="13"/>
                <c:pt idx="0">
                  <c:v>-0.30317270801323581</c:v>
                </c:pt>
                <c:pt idx="1">
                  <c:v>0.14506660531349491</c:v>
                </c:pt>
                <c:pt idx="2">
                  <c:v>0.19370589375033379</c:v>
                </c:pt>
                <c:pt idx="3">
                  <c:v>0.20358338131520173</c:v>
                </c:pt>
                <c:pt idx="4">
                  <c:v>0.13186650424041388</c:v>
                </c:pt>
                <c:pt idx="5">
                  <c:v>9.7827086162129068E-2</c:v>
                </c:pt>
                <c:pt idx="6">
                  <c:v>0.12406057198922342</c:v>
                </c:pt>
                <c:pt idx="7">
                  <c:v>0.44419755452395016</c:v>
                </c:pt>
              </c:numCache>
            </c:numRef>
          </c:yVal>
        </c:ser>
        <c:ser>
          <c:idx val="14"/>
          <c:order val="9"/>
          <c:tx>
            <c:strRef>
              <c:f>корреляция!$C$36</c:f>
              <c:strCache>
                <c:ptCount val="1"/>
                <c:pt idx="0">
                  <c:v>лейкоантоцианы (10)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корреляция!$D$36:$P$36</c:f>
              <c:numCache>
                <c:formatCode>0.0</c:formatCode>
                <c:ptCount val="13"/>
                <c:pt idx="0">
                  <c:v>-0.31379753936046756</c:v>
                </c:pt>
                <c:pt idx="1">
                  <c:v>8.9044625041523245E-2</c:v>
                </c:pt>
                <c:pt idx="2">
                  <c:v>0.41777520559662867</c:v>
                </c:pt>
                <c:pt idx="3">
                  <c:v>0.70241199135275756</c:v>
                </c:pt>
                <c:pt idx="4">
                  <c:v>0.43047671025623052</c:v>
                </c:pt>
                <c:pt idx="5">
                  <c:v>0.26370149845984631</c:v>
                </c:pt>
                <c:pt idx="6">
                  <c:v>0.43615888379724099</c:v>
                </c:pt>
                <c:pt idx="7">
                  <c:v>0.37134161763921414</c:v>
                </c:pt>
                <c:pt idx="8">
                  <c:v>0.81939811859684863</c:v>
                </c:pt>
              </c:numCache>
            </c:numRef>
          </c:yVal>
        </c:ser>
        <c:ser>
          <c:idx val="16"/>
          <c:order val="10"/>
          <c:tx>
            <c:strRef>
              <c:f>корреляция!$C$37</c:f>
              <c:strCache>
                <c:ptCount val="1"/>
                <c:pt idx="0">
                  <c:v>катехины (11)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7"/>
            <c:spPr>
              <a:noFill/>
              <a:ln>
                <a:solidFill>
                  <a:sysClr val="windowText" lastClr="000000"/>
                </a:solidFill>
              </a:ln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корреляция!$D$37:$P$37</c:f>
              <c:numCache>
                <c:formatCode>0.0</c:formatCode>
                <c:ptCount val="13"/>
                <c:pt idx="0">
                  <c:v>-0.1265070909484407</c:v>
                </c:pt>
                <c:pt idx="1">
                  <c:v>-8.1229814214769422E-2</c:v>
                </c:pt>
                <c:pt idx="2">
                  <c:v>-0.67538784701620103</c:v>
                </c:pt>
                <c:pt idx="3">
                  <c:v>-0.17138616686071823</c:v>
                </c:pt>
                <c:pt idx="4">
                  <c:v>-0.16880760180467072</c:v>
                </c:pt>
                <c:pt idx="5">
                  <c:v>-8.1745966219294766E-2</c:v>
                </c:pt>
                <c:pt idx="6">
                  <c:v>8.8192236456411457E-2</c:v>
                </c:pt>
                <c:pt idx="7">
                  <c:v>-0.31481578391995291</c:v>
                </c:pt>
                <c:pt idx="8">
                  <c:v>-0.63531209162165458</c:v>
                </c:pt>
                <c:pt idx="9">
                  <c:v>-0.49621862643000231</c:v>
                </c:pt>
              </c:numCache>
            </c:numRef>
          </c:yVal>
        </c:ser>
        <c:ser>
          <c:idx val="17"/>
          <c:order val="11"/>
          <c:tx>
            <c:strRef>
              <c:f>корреляция!$C$38</c:f>
              <c:strCache>
                <c:ptCount val="1"/>
                <c:pt idx="0">
                  <c:v>флавонолы (12)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корреляция!$D$38:$P$38</c:f>
              <c:numCache>
                <c:formatCode>0.0</c:formatCode>
                <c:ptCount val="13"/>
                <c:pt idx="0">
                  <c:v>0.18429435918332823</c:v>
                </c:pt>
                <c:pt idx="1">
                  <c:v>0.23323551244605475</c:v>
                </c:pt>
                <c:pt idx="2">
                  <c:v>0.14626627280407425</c:v>
                </c:pt>
                <c:pt idx="3">
                  <c:v>-0.20156769043128575</c:v>
                </c:pt>
                <c:pt idx="4">
                  <c:v>-0.14050573212469591</c:v>
                </c:pt>
                <c:pt idx="5">
                  <c:v>-0.25459556523767723</c:v>
                </c:pt>
                <c:pt idx="6">
                  <c:v>-0.13361061428004567</c:v>
                </c:pt>
                <c:pt idx="7">
                  <c:v>-0.12449390331507856</c:v>
                </c:pt>
                <c:pt idx="8">
                  <c:v>-0.48281883102925</c:v>
                </c:pt>
                <c:pt idx="9">
                  <c:v>-0.30192873980590457</c:v>
                </c:pt>
                <c:pt idx="10">
                  <c:v>-5.1515343987425917E-2</c:v>
                </c:pt>
              </c:numCache>
            </c:numRef>
          </c:yVal>
        </c:ser>
        <c:ser>
          <c:idx val="19"/>
          <c:order val="12"/>
          <c:tx>
            <c:strRef>
              <c:f>корреляция!$C$39</c:f>
              <c:strCache>
                <c:ptCount val="1"/>
                <c:pt idx="0">
                  <c:v>дубильные вещества (13)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bg1">
                  <a:lumMod val="50000"/>
                </a:schemeClr>
              </a:solidFill>
            </c:spPr>
          </c:marker>
          <c:dLbls>
            <c:dLbl>
              <c:idx val="12"/>
              <c:dLblPos val="r"/>
              <c:showVal val="1"/>
              <c:showCatName val="1"/>
            </c:dLbl>
            <c:delete val="1"/>
          </c:dLbls>
          <c:xVal>
            <c:strRef>
              <c:f>корреляция!$D$26:$P$26</c:f>
              <c:strCache>
                <c:ptCount val="13"/>
                <c:pt idx="0">
                  <c:v>Титр.кис.</c:v>
                </c:pt>
                <c:pt idx="1">
                  <c:v>Вит.С</c:v>
                </c:pt>
                <c:pt idx="2">
                  <c:v>сумма редуц.</c:v>
                </c:pt>
                <c:pt idx="3">
                  <c:v>сахароза</c:v>
                </c:pt>
                <c:pt idx="4">
                  <c:v>сум.сах.</c:v>
                </c:pt>
                <c:pt idx="5">
                  <c:v>гдрп</c:v>
                </c:pt>
                <c:pt idx="6">
                  <c:v>пртпк</c:v>
                </c:pt>
                <c:pt idx="7">
                  <c:v>клетчатка</c:v>
                </c:pt>
                <c:pt idx="8">
                  <c:v>антоц.</c:v>
                </c:pt>
                <c:pt idx="9">
                  <c:v>лейкоант.</c:v>
                </c:pt>
                <c:pt idx="10">
                  <c:v>катех.</c:v>
                </c:pt>
                <c:pt idx="11">
                  <c:v>флавон.</c:v>
                </c:pt>
                <c:pt idx="12">
                  <c:v>дубильн</c:v>
                </c:pt>
              </c:strCache>
            </c:strRef>
          </c:xVal>
          <c:yVal>
            <c:numRef>
              <c:f>корреляция!$D$39:$P$39</c:f>
              <c:numCache>
                <c:formatCode>0.0</c:formatCode>
                <c:ptCount val="13"/>
                <c:pt idx="0">
                  <c:v>-5.9032377348952933E-2</c:v>
                </c:pt>
                <c:pt idx="1">
                  <c:v>-0.19773687346641591</c:v>
                </c:pt>
                <c:pt idx="2">
                  <c:v>0.21133797793314987</c:v>
                </c:pt>
                <c:pt idx="3">
                  <c:v>0.23546858174466831</c:v>
                </c:pt>
                <c:pt idx="4">
                  <c:v>0.17405891383251423</c:v>
                </c:pt>
                <c:pt idx="5">
                  <c:v>-3.5534423885174402E-2</c:v>
                </c:pt>
                <c:pt idx="6">
                  <c:v>0.17464674260901689</c:v>
                </c:pt>
                <c:pt idx="7">
                  <c:v>0.21350264995259541</c:v>
                </c:pt>
                <c:pt idx="8">
                  <c:v>6.0883557120658934E-3</c:v>
                </c:pt>
                <c:pt idx="9">
                  <c:v>0.31981501910361954</c:v>
                </c:pt>
                <c:pt idx="10">
                  <c:v>-0.13699320048882896</c:v>
                </c:pt>
                <c:pt idx="11">
                  <c:v>-8.0881487167119306E-2</c:v>
                </c:pt>
              </c:numCache>
            </c:numRef>
          </c:yVal>
        </c:ser>
        <c:axId val="140964224"/>
        <c:axId val="140966144"/>
      </c:scatterChart>
      <c:valAx>
        <c:axId val="140964224"/>
        <c:scaling>
          <c:orientation val="minMax"/>
          <c:max val="12"/>
          <c:min val="0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Показатели пищевой ценности</a:t>
                </a:r>
              </a:p>
            </c:rich>
          </c:tx>
          <c:layout>
            <c:manualLayout>
              <c:xMode val="edge"/>
              <c:yMode val="edge"/>
              <c:x val="0.24847448973038325"/>
              <c:y val="0.94380957645131869"/>
            </c:manualLayout>
          </c:layout>
        </c:title>
        <c:numFmt formatCode="0" sourceLinked="0"/>
        <c:maj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66144"/>
        <c:crosses val="autoZero"/>
        <c:crossBetween val="midCat"/>
        <c:majorUnit val="1"/>
        <c:minorUnit val="1"/>
      </c:valAx>
      <c:valAx>
        <c:axId val="140966144"/>
        <c:scaling>
          <c:orientation val="minMax"/>
          <c:max val="1"/>
          <c:min val="-1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Значение коэффиициента корреляции</a:t>
                </a:r>
              </a:p>
            </c:rich>
          </c:tx>
        </c:title>
        <c:numFmt formatCode="General" sourceLinked="1"/>
        <c:majorTickMark val="none"/>
        <c:tickLblPos val="nextTo"/>
        <c:spPr>
          <a:solidFill>
            <a:schemeClr val="bg1"/>
          </a:solidFill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964224"/>
        <c:crosses val="autoZero"/>
        <c:crossBetween val="midCat"/>
        <c:majorUnit val="0.1"/>
        <c:minorUnit val="0.1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8096601252132694"/>
          <c:y val="8.8065775552051623E-4"/>
          <c:w val="0.30694574329614088"/>
          <c:h val="0.99823839930185998"/>
        </c:manualLayout>
      </c:layout>
      <c:txPr>
        <a:bodyPr/>
        <a:lstStyle/>
        <a:p>
          <a:pPr>
            <a:lnSpc>
              <a:spcPts val="900"/>
            </a:lnSpc>
            <a:defRPr sz="1100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Мучные кондитерские безглютеновые изделия</a:t>
            </a:r>
          </a:p>
        </c:rich>
      </c:tx>
      <c:layout>
        <c:manualLayout>
          <c:xMode val="edge"/>
          <c:yMode val="edge"/>
          <c:x val="0.186345812036653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A50021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Lbls>
            <c:dLbl>
              <c:idx val="0"/>
              <c:layout>
                <c:manualLayout>
                  <c:x val="3.6182671081677713E-2"/>
                  <c:y val="0.11496625694317285"/>
                </c:manualLayout>
              </c:layout>
              <c:tx>
                <c:rich>
                  <a:bodyPr/>
                  <a:lstStyle/>
                  <a:p>
                    <a:pPr>
                      <a:defRPr sz="1199" baseline="0"/>
                    </a:pPr>
                    <a:r>
                      <a:rPr lang="ru-RU" sz="1199" baseline="0"/>
                      <a:t>18,1%  - отечественного производства</a:t>
                    </a:r>
                    <a:endParaRPr lang="en-US" sz="1200" baseline="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5.6455544701395119E-2"/>
                  <c:y val="-0.19782423371647512"/>
                </c:manualLayout>
              </c:layout>
              <c:tx>
                <c:rich>
                  <a:bodyPr/>
                  <a:lstStyle/>
                  <a:p>
                    <a:pPr>
                      <a:defRPr sz="1199" baseline="0"/>
                    </a:pPr>
                    <a:r>
                      <a:rPr lang="ru-RU"/>
                      <a:t>81,9% -</a:t>
                    </a:r>
                    <a:r>
                      <a:rPr lang="ru-RU" baseline="0"/>
                      <a:t> импортного производства</a:t>
                    </a:r>
                    <a:endParaRPr lang="en-US"/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81.900000000000006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отечественного производства  18,1</c:v>
                </c:pt>
                <c:pt idx="1">
                  <c:v>импортного производства 81,9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noFill/>
        <a:ln w="25373">
          <a:noFill/>
        </a:ln>
      </c:spPr>
    </c:plotArea>
    <c:plotVisOnly val="1"/>
    <c:dispBlanksAs val="zero"/>
  </c:chart>
  <c:spPr>
    <a:ln w="951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национальные блюда и изделия в рационе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8B-4621-8262-03FA97B95DE3}"/>
                </c:ext>
              </c:extLst>
            </c:dLbl>
            <c:dLbl>
              <c:idx val="1"/>
              <c:layout>
                <c:manualLayout>
                  <c:x val="-9.3457943925233933E-3"/>
                  <c:y val="-0.2359882005899708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8B-4621-8262-03FA97B95D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пищевой рацион абитуриента до поступления в университет</c:v>
                </c:pt>
                <c:pt idx="1">
                  <c:v>пищевой рацион студента университета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7-47B7-8086-CD4387901F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современный студенческий рацион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solidFill>
                <a:schemeClr val="tx1"/>
              </a:solidFill>
            </a:ln>
            <a:effectLst/>
          </c:spPr>
          <c:cat>
            <c:strRef>
              <c:f>Лист1!$A$2:$A$3</c:f>
              <c:strCache>
                <c:ptCount val="2"/>
                <c:pt idx="0">
                  <c:v>пищевой рацион абитуриента до поступления в университет</c:v>
                </c:pt>
                <c:pt idx="1">
                  <c:v>пищевой рацион студента университета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7-47B7-8086-CD4387901F5E}"/>
            </c:ext>
          </c:extLst>
        </c:ser>
        <c:overlap val="100"/>
        <c:axId val="166168832"/>
        <c:axId val="87630208"/>
      </c:barChart>
      <c:catAx>
        <c:axId val="166168832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30208"/>
        <c:crosses val="autoZero"/>
        <c:auto val="1"/>
        <c:lblAlgn val="ctr"/>
        <c:lblOffset val="100"/>
      </c:catAx>
      <c:valAx>
        <c:axId val="87630208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688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ts val="800"/>
            </a:lnSpc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V="1">
          <a:off x="-731520" y="-1882588"/>
          <a:ext cx="0" cy="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5CD4-B5CB-4B1E-9C07-99DBD1A5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2019-04-28T06:08:00Z</dcterms:created>
  <dcterms:modified xsi:type="dcterms:W3CDTF">2022-04-29T20:58:00Z</dcterms:modified>
</cp:coreProperties>
</file>